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440" w:lineRule="exact"/>
        <w:ind w:firstLine="640" w:firstLineChars="200"/>
        <w:jc w:val="left"/>
        <w:outlineLvl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附件4</w:t>
      </w:r>
    </w:p>
    <w:p>
      <w:pPr>
        <w:widowControl/>
        <w:adjustRightInd w:val="0"/>
        <w:snapToGrid w:val="0"/>
        <w:spacing w:line="440" w:lineRule="exact"/>
        <w:ind w:firstLine="640" w:firstLineChars="200"/>
        <w:jc w:val="left"/>
        <w:outlineLvl w:val="0"/>
        <w:rPr>
          <w:rFonts w:hint="eastAsia" w:ascii="仿宋_GB2312" w:hAnsi="仿宋_GB2312" w:eastAsia="仿宋_GB2312" w:cs="仿宋_GB2312"/>
          <w:sz w:val="32"/>
          <w:szCs w:val="32"/>
          <w:lang w:val="en-US" w:eastAsia="zh-CN"/>
        </w:rPr>
      </w:pPr>
    </w:p>
    <w:p>
      <w:pPr>
        <w:adjustRightInd w:val="0"/>
        <w:snapToGrid w:val="0"/>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FLL Challegne工程挑战赛竞赛规则</w:t>
      </w:r>
    </w:p>
    <w:p>
      <w:pPr>
        <w:adjustRightInd w:val="0"/>
        <w:snapToGrid w:val="0"/>
        <w:spacing w:line="560" w:lineRule="exact"/>
        <w:jc w:val="center"/>
        <w:rPr>
          <w:rFonts w:hint="eastAsia" w:ascii="方正小标宋_GBK" w:hAnsi="方正小标宋_GBK" w:eastAsia="方正小标宋_GBK" w:cs="方正小标宋_GBK"/>
          <w:sz w:val="44"/>
          <w:szCs w:val="44"/>
        </w:rPr>
      </w:pPr>
    </w:p>
    <w:p>
      <w:pPr>
        <w:adjustRightInd w:val="0"/>
        <w:snapToGrid w:val="0"/>
        <w:spacing w:line="560" w:lineRule="exact"/>
        <w:rPr>
          <w:rFonts w:hint="eastAsia" w:ascii="黑体" w:hAnsi="黑体" w:eastAsia="黑体" w:cs="黑体"/>
          <w:sz w:val="32"/>
          <w:szCs w:val="32"/>
        </w:rPr>
      </w:pPr>
      <w:r>
        <w:rPr>
          <w:rFonts w:hint="eastAsia" w:ascii="黑体" w:hAnsi="黑体" w:eastAsia="黑体" w:cs="黑体"/>
          <w:sz w:val="32"/>
          <w:szCs w:val="32"/>
        </w:rPr>
        <w:t>一、机器人比赛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团队将使用乐高元件和技术制造一个机器人。并通过编程让它在2.5分钟的机器人比赛中自主完成一系列任务来得分。机器人从出发区开始，按照团队选择的顺序尝试任务，然后返回HOME区域的任何地方。</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当机器人在HOME区域里时，比赛队伍可以在它再次出发前对其进行修改。如果需要的话，可以用手把机器人带回家，但是团队会丢失一个精准标记。每队将进行几场比赛，但只取最高分数。</w:t>
      </w:r>
    </w:p>
    <w:p>
      <w:pPr>
        <w:adjustRightInd w:val="0"/>
        <w:snapToGrid w:val="0"/>
        <w:spacing w:line="560" w:lineRule="exact"/>
        <w:rPr>
          <w:rFonts w:hint="eastAsia"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60288" behindDoc="0" locked="0" layoutInCell="1" allowOverlap="1">
            <wp:simplePos x="0" y="0"/>
            <wp:positionH relativeFrom="margin">
              <wp:align>right</wp:align>
            </wp:positionH>
            <wp:positionV relativeFrom="paragraph">
              <wp:posOffset>591185</wp:posOffset>
            </wp:positionV>
            <wp:extent cx="5274310" cy="2938145"/>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2938145"/>
                    </a:xfrm>
                    <a:prstGeom prst="rect">
                      <a:avLst/>
                    </a:prstGeom>
                  </pic:spPr>
                </pic:pic>
              </a:graphicData>
            </a:graphic>
          </wp:anchor>
        </w:drawing>
      </w:r>
      <w:r>
        <w:rPr>
          <w:rFonts w:hint="eastAsia" w:ascii="黑体" w:hAnsi="黑体" w:eastAsia="黑体" w:cs="黑体"/>
          <w:sz w:val="32"/>
          <w:szCs w:val="32"/>
        </w:rPr>
        <w:t>二、比赛场地</w:t>
      </w:r>
    </w:p>
    <w:p>
      <w:pPr>
        <w:spacing w:line="440" w:lineRule="exact"/>
        <w:ind w:firstLine="640" w:firstLineChars="200"/>
        <w:rPr>
          <w:rFonts w:ascii="仿宋_GB2312" w:hAnsi="Arial" w:eastAsia="仿宋_GB2312"/>
          <w:kern w:val="0"/>
          <w:sz w:val="32"/>
          <w:szCs w:val="32"/>
        </w:rPr>
      </w:pPr>
      <w:r>
        <w:rPr>
          <w:rFonts w:hint="eastAsia" w:ascii="仿宋_GB2312" w:hAnsi="Arial" w:eastAsia="仿宋_GB2312"/>
          <w:kern w:val="0"/>
          <w:sz w:val="32"/>
          <w:szCs w:val="32"/>
        </w:rPr>
        <w:t>场地：建议木质外框的内长约为236cm、内宽约为 115cm、内高约为 9cm，外框厚度约2cm，实际提供的赛台尺寸可能有所差异，场地内居中铺有一张场地纸，场地纸上摆有相应的道具模型，其中一些模型需要使用子母扣固定在场地上。场地纸放在较为平坦光滑的表面上，与底板无需采用粘结方式，会用边框任务区域围住。</w:t>
      </w:r>
    </w:p>
    <w:p>
      <w:pPr>
        <w:adjustRightInd w:val="0"/>
        <w:snapToGrid w:val="0"/>
        <w:spacing w:line="560" w:lineRule="exact"/>
        <w:rPr>
          <w:rFonts w:hint="eastAsia" w:ascii="黑体" w:hAnsi="黑体" w:eastAsia="黑体" w:cs="黑体"/>
          <w:sz w:val="32"/>
          <w:szCs w:val="32"/>
        </w:rPr>
      </w:pPr>
      <w:r>
        <w:rPr>
          <w:rFonts w:hint="eastAsia" w:ascii="黑体" w:hAnsi="黑体" w:eastAsia="黑体" w:cs="黑体"/>
          <w:sz w:val="32"/>
          <w:szCs w:val="32"/>
        </w:rPr>
        <w:t>三、主题任务</w:t>
      </w:r>
    </w:p>
    <w:p>
      <w:pPr>
        <w:ind w:left="20" w:firstLine="420" w:firstLineChars="200"/>
        <w:rPr>
          <w:rFonts w:hint="eastAsia" w:ascii="仿宋_GB2312" w:hAnsi="Arial" w:eastAsia="仿宋_GB2312"/>
          <w:kern w:val="0"/>
          <w:sz w:val="32"/>
          <w:szCs w:val="32"/>
        </w:rPr>
      </w:pPr>
      <w:r>
        <w:drawing>
          <wp:anchor distT="0" distB="0" distL="114300" distR="114300" simplePos="0" relativeHeight="251661312" behindDoc="0" locked="0" layoutInCell="1" allowOverlap="1">
            <wp:simplePos x="0" y="0"/>
            <wp:positionH relativeFrom="margin">
              <wp:posOffset>-457200</wp:posOffset>
            </wp:positionH>
            <wp:positionV relativeFrom="paragraph">
              <wp:posOffset>1239520</wp:posOffset>
            </wp:positionV>
            <wp:extent cx="6286500" cy="6491605"/>
            <wp:effectExtent l="0" t="0" r="0" b="444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286500" cy="6491605"/>
                    </a:xfrm>
                    <a:prstGeom prst="rect">
                      <a:avLst/>
                    </a:prstGeom>
                  </pic:spPr>
                </pic:pic>
              </a:graphicData>
            </a:graphic>
          </wp:anchor>
        </w:drawing>
      </w:r>
      <w:r>
        <w:rPr>
          <w:rFonts w:ascii="仿宋_GB2312" w:hAnsi="Arial" w:eastAsia="仿宋_GB2312"/>
          <w:kern w:val="0"/>
          <w:sz w:val="32"/>
          <w:szCs w:val="32"/>
        </w:rPr>
        <w:t>指机器人通过执行可以获得分数的一系列任务。详细说明非常简单，但数量比较多。为了确保充分理解这些内容，应与团队成员一起在实际场地旁反复进行阅读。</w:t>
      </w:r>
    </w:p>
    <w:p>
      <w:pPr>
        <w:adjustRightInd w:val="0"/>
        <w:snapToGrid w:val="0"/>
        <w:spacing w:line="560" w:lineRule="exact"/>
        <w:rPr>
          <w:rFonts w:hint="eastAsia" w:ascii="仿宋_GB2312" w:hAnsi="Arial" w:eastAsia="仿宋_GB2312"/>
          <w:kern w:val="0"/>
          <w:sz w:val="32"/>
          <w:szCs w:val="32"/>
        </w:rPr>
      </w:pPr>
      <w:r>
        <w:drawing>
          <wp:anchor distT="0" distB="0" distL="114300" distR="114300" simplePos="0" relativeHeight="251662336" behindDoc="0" locked="0" layoutInCell="1" allowOverlap="1">
            <wp:simplePos x="0" y="0"/>
            <wp:positionH relativeFrom="margin">
              <wp:posOffset>-438785</wp:posOffset>
            </wp:positionH>
            <wp:positionV relativeFrom="paragraph">
              <wp:posOffset>0</wp:posOffset>
            </wp:positionV>
            <wp:extent cx="6486525" cy="889635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86525" cy="8896350"/>
                    </a:xfrm>
                    <a:prstGeom prst="rect">
                      <a:avLst/>
                    </a:prstGeom>
                  </pic:spPr>
                </pic:pic>
              </a:graphicData>
            </a:graphic>
          </wp:anchor>
        </w:drawing>
      </w:r>
    </w:p>
    <w:p/>
    <w:p>
      <w:pPr>
        <w:ind w:firstLine="640" w:firstLineChars="200"/>
        <w:rPr>
          <w:rFonts w:ascii="仿宋_GB2312" w:hAnsi="Arial" w:eastAsia="仿宋_GB2312"/>
          <w:kern w:val="0"/>
          <w:sz w:val="32"/>
          <w:szCs w:val="32"/>
        </w:rPr>
      </w:pPr>
      <w:r>
        <w:rPr>
          <w:rFonts w:hint="eastAsia" w:ascii="仿宋_GB2312" w:hAnsi="仿宋_GB2312" w:eastAsia="仿宋_GB2312" w:cs="仿宋_GB2312"/>
          <w:kern w:val="0"/>
          <w:sz w:val="32"/>
          <w:szCs w:val="32"/>
        </w:rPr>
        <w:drawing>
          <wp:anchor distT="0" distB="0" distL="114300" distR="114300" simplePos="0" relativeHeight="251672576" behindDoc="0" locked="0" layoutInCell="1" allowOverlap="1">
            <wp:simplePos x="0" y="0"/>
            <wp:positionH relativeFrom="column">
              <wp:posOffset>-523240</wp:posOffset>
            </wp:positionH>
            <wp:positionV relativeFrom="paragraph">
              <wp:posOffset>295275</wp:posOffset>
            </wp:positionV>
            <wp:extent cx="6019165" cy="8003540"/>
            <wp:effectExtent l="0" t="0" r="635" b="1651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19165" cy="8003540"/>
                    </a:xfrm>
                    <a:prstGeom prst="rect">
                      <a:avLst/>
                    </a:prstGeom>
                  </pic:spPr>
                </pic:pic>
              </a:graphicData>
            </a:graphic>
          </wp:anchor>
        </w:drawing>
      </w:r>
      <w:r>
        <w:rPr>
          <w:rFonts w:hint="eastAsia" w:ascii="仿宋_GB2312" w:hAnsi="仿宋_GB2312" w:eastAsia="仿宋_GB2312" w:cs="仿宋_GB2312"/>
          <w:kern w:val="0"/>
          <w:sz w:val="32"/>
          <w:szCs w:val="32"/>
        </w:rPr>
        <w:t>注：该任务</w:t>
      </w:r>
      <w:r>
        <w:rPr>
          <w:rFonts w:hint="eastAsia" w:ascii="仿宋_GB2312" w:hAnsi="仿宋_GB2312" w:eastAsia="仿宋_GB2312" w:cs="仿宋_GB2312"/>
          <w:kern w:val="0"/>
          <w:sz w:val="32"/>
          <w:szCs w:val="32"/>
          <w:lang w:val="en-US" w:eastAsia="zh-CN"/>
        </w:rPr>
        <w:t>得分以</w:t>
      </w:r>
      <w:r>
        <w:rPr>
          <w:rFonts w:hint="eastAsia" w:ascii="仿宋_GB2312" w:hAnsi="仿宋_GB2312" w:eastAsia="仿宋_GB2312" w:cs="仿宋_GB2312"/>
          <w:kern w:val="0"/>
          <w:sz w:val="32"/>
          <w:szCs w:val="32"/>
        </w:rPr>
        <w:t>规则文字说明为主。</w:t>
      </w:r>
      <w:bookmarkStart w:id="0" w:name="_GoBack"/>
      <w:bookmarkEnd w:id="0"/>
    </w:p>
    <w:p>
      <w:r>
        <w:drawing>
          <wp:anchor distT="0" distB="0" distL="114300" distR="114300" simplePos="0" relativeHeight="251663360" behindDoc="0" locked="0" layoutInCell="1" allowOverlap="1">
            <wp:simplePos x="0" y="0"/>
            <wp:positionH relativeFrom="column">
              <wp:posOffset>-723900</wp:posOffset>
            </wp:positionH>
            <wp:positionV relativeFrom="paragraph">
              <wp:posOffset>27940</wp:posOffset>
            </wp:positionV>
            <wp:extent cx="6625590" cy="8201025"/>
            <wp:effectExtent l="0" t="0" r="381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rcRect b="6919"/>
                    <a:stretch>
                      <a:fillRect/>
                    </a:stretch>
                  </pic:blipFill>
                  <pic:spPr>
                    <a:xfrm>
                      <a:off x="0" y="0"/>
                      <a:ext cx="6625590" cy="8201025"/>
                    </a:xfrm>
                    <a:prstGeom prst="rect">
                      <a:avLst/>
                    </a:prstGeom>
                  </pic:spPr>
                </pic:pic>
              </a:graphicData>
            </a:graphic>
          </wp:anchor>
        </w:drawing>
      </w:r>
    </w:p>
    <w:p>
      <w:r>
        <w:drawing>
          <wp:anchor distT="0" distB="0" distL="114300" distR="114300" simplePos="0" relativeHeight="251664384" behindDoc="0" locked="0" layoutInCell="1" allowOverlap="1">
            <wp:simplePos x="0" y="0"/>
            <wp:positionH relativeFrom="margin">
              <wp:align>center</wp:align>
            </wp:positionH>
            <wp:positionV relativeFrom="paragraph">
              <wp:posOffset>85725</wp:posOffset>
            </wp:positionV>
            <wp:extent cx="7314565" cy="8763000"/>
            <wp:effectExtent l="0" t="0" r="63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314565" cy="8763000"/>
                    </a:xfrm>
                    <a:prstGeom prst="rect">
                      <a:avLst/>
                    </a:prstGeom>
                  </pic:spPr>
                </pic:pic>
              </a:graphicData>
            </a:graphic>
          </wp:anchor>
        </w:drawing>
      </w:r>
    </w:p>
    <w:p>
      <w:r>
        <w:drawing>
          <wp:anchor distT="0" distB="0" distL="114300" distR="114300" simplePos="0" relativeHeight="251665408" behindDoc="0" locked="0" layoutInCell="1" allowOverlap="1">
            <wp:simplePos x="0" y="0"/>
            <wp:positionH relativeFrom="column">
              <wp:posOffset>-981075</wp:posOffset>
            </wp:positionH>
            <wp:positionV relativeFrom="paragraph">
              <wp:posOffset>0</wp:posOffset>
            </wp:positionV>
            <wp:extent cx="7223760" cy="8858885"/>
            <wp:effectExtent l="0" t="0" r="15240" b="1841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23760" cy="8858885"/>
                    </a:xfrm>
                    <a:prstGeom prst="rect">
                      <a:avLst/>
                    </a:prstGeom>
                  </pic:spPr>
                </pic:pic>
              </a:graphicData>
            </a:graphic>
          </wp:anchor>
        </w:drawing>
      </w:r>
    </w:p>
    <w:p>
      <w:r>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6648450" cy="8834755"/>
            <wp:effectExtent l="0" t="0" r="0" b="444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48450" cy="8834755"/>
                    </a:xfrm>
                    <a:prstGeom prst="rect">
                      <a:avLst/>
                    </a:prstGeom>
                  </pic:spPr>
                </pic:pic>
              </a:graphicData>
            </a:graphic>
          </wp:anchor>
        </w:drawing>
      </w:r>
    </w:p>
    <w:p>
      <w:r>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6851650" cy="8810625"/>
            <wp:effectExtent l="0" t="0" r="6350"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851650" cy="8810625"/>
                    </a:xfrm>
                    <a:prstGeom prst="rect">
                      <a:avLst/>
                    </a:prstGeom>
                  </pic:spPr>
                </pic:pic>
              </a:graphicData>
            </a:graphic>
          </wp:anchor>
        </w:drawing>
      </w:r>
    </w:p>
    <w:p>
      <w:r>
        <w:drawing>
          <wp:anchor distT="0" distB="0" distL="114300" distR="114300" simplePos="0" relativeHeight="251668480" behindDoc="0" locked="0" layoutInCell="1" allowOverlap="1">
            <wp:simplePos x="0" y="0"/>
            <wp:positionH relativeFrom="column">
              <wp:posOffset>-974090</wp:posOffset>
            </wp:positionH>
            <wp:positionV relativeFrom="paragraph">
              <wp:posOffset>66675</wp:posOffset>
            </wp:positionV>
            <wp:extent cx="7310120" cy="8753475"/>
            <wp:effectExtent l="0" t="0" r="571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310110" cy="8753475"/>
                    </a:xfrm>
                    <a:prstGeom prst="rect">
                      <a:avLst/>
                    </a:prstGeom>
                  </pic:spPr>
                </pic:pic>
              </a:graphicData>
            </a:graphic>
          </wp:anchor>
        </w:drawing>
      </w:r>
    </w:p>
    <w:p>
      <w:r>
        <w:drawing>
          <wp:anchor distT="0" distB="0" distL="114300" distR="114300" simplePos="0" relativeHeight="251669504" behindDoc="0" locked="0" layoutInCell="1" allowOverlap="1">
            <wp:simplePos x="0" y="0"/>
            <wp:positionH relativeFrom="margin">
              <wp:posOffset>-1076325</wp:posOffset>
            </wp:positionH>
            <wp:positionV relativeFrom="paragraph">
              <wp:posOffset>0</wp:posOffset>
            </wp:positionV>
            <wp:extent cx="7429500" cy="5311775"/>
            <wp:effectExtent l="0" t="0" r="0" b="317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429500" cy="5311775"/>
                    </a:xfrm>
                    <a:prstGeom prst="rect">
                      <a:avLst/>
                    </a:prstGeom>
                  </pic:spPr>
                </pic:pic>
              </a:graphicData>
            </a:graphic>
          </wp:anchor>
        </w:drawing>
      </w:r>
    </w:p>
    <w:p/>
    <w:p/>
    <w:p/>
    <w:p/>
    <w:p/>
    <w:p/>
    <w:p/>
    <w:p/>
    <w:p/>
    <w:p/>
    <w:p/>
    <w:p/>
    <w:p/>
    <w:p/>
    <w:p/>
    <w:p>
      <w:pPr>
        <w:rPr>
          <w:rFonts w:hint="eastAsia"/>
        </w:rPr>
      </w:pPr>
    </w:p>
    <w:p>
      <w:pPr>
        <w:adjustRightInd w:val="0"/>
        <w:snapToGrid w:val="0"/>
        <w:spacing w:line="560" w:lineRule="exact"/>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、场地任务赛方式</w:t>
      </w:r>
    </w:p>
    <w:p>
      <w:pPr>
        <w:widowControl/>
        <w:spacing w:line="440" w:lineRule="exact"/>
        <w:ind w:firstLine="643" w:firstLineChars="200"/>
        <w:jc w:val="left"/>
        <w:rPr>
          <w:rFonts w:hint="eastAsia" w:ascii="仿宋_GB2312" w:hAnsi="仿宋_GB2312" w:eastAsia="仿宋_GB2312" w:cs="仿宋_GB2312"/>
          <w:sz w:val="32"/>
          <w:szCs w:val="32"/>
        </w:rPr>
      </w:pPr>
      <w:r>
        <w:rPr>
          <w:rFonts w:hint="eastAsia" w:ascii="仿宋_GB2312" w:hAnsi="Arial" w:eastAsia="仿宋_GB2312"/>
          <w:b/>
          <w:kern w:val="0"/>
          <w:sz w:val="32"/>
          <w:szCs w:val="32"/>
        </w:rPr>
        <w:t>1.竞赛：</w:t>
      </w:r>
      <w:r>
        <w:rPr>
          <w:rFonts w:hint="eastAsia" w:ascii="仿宋_GB2312" w:hAnsi="仿宋_GB2312" w:eastAsia="仿宋_GB2312" w:cs="仿宋_GB2312"/>
          <w:sz w:val="32"/>
          <w:szCs w:val="32"/>
        </w:rPr>
        <w:t>两个标准场地并排放置，两队同时上场比赛。比赛前队员将有1分钟时间准备自己的参赛机器人（机器人不许离开基地），确认场地道具，并在裁判允许下在规则许可范围内自己调整模型，然后在裁判发令后开始比赛。比赛连续记时150秒时间，机器人要尝试尽力完成各项任务。</w:t>
      </w:r>
    </w:p>
    <w:p>
      <w:pPr>
        <w:widowControl/>
        <w:spacing w:line="440" w:lineRule="exact"/>
        <w:ind w:firstLine="643" w:firstLineChars="200"/>
        <w:jc w:val="left"/>
        <w:rPr>
          <w:rFonts w:ascii="仿宋_GB2312" w:hAnsi="仿宋_GB2312" w:eastAsia="仿宋_GB2312" w:cs="仿宋_GB2312"/>
          <w:sz w:val="32"/>
          <w:szCs w:val="32"/>
        </w:rPr>
      </w:pPr>
      <w:r>
        <w:rPr>
          <w:rFonts w:hint="eastAsia" w:ascii="仿宋_GB2312" w:hAnsi="Arial" w:eastAsia="仿宋_GB2312"/>
          <w:b/>
          <w:kern w:val="0"/>
          <w:sz w:val="32"/>
          <w:szCs w:val="32"/>
        </w:rPr>
        <w:t>2.任务：</w:t>
      </w:r>
      <w:r>
        <w:rPr>
          <w:rFonts w:hint="eastAsia" w:ascii="仿宋_GB2312" w:hAnsi="仿宋_GB2312" w:eastAsia="仿宋_GB2312" w:cs="仿宋_GB2312"/>
          <w:sz w:val="32"/>
          <w:szCs w:val="32"/>
        </w:rPr>
        <w:t>场地任务挑战比赛时，机器人为了获得分数而要完成的工作。机器人必须从基地出发，可以多次往返于基地和场地之间，每次出基地后可以尝试完成1个或多个任务。当轮比赛可以按照任意的顺序去完成，在规则允许的情况下可以反复尝试去完成任务，或者放弃任务。当比赛结束计时后，裁判根据场地上每个任务完成的结果，给出相应的分数，而接触处罚罚则可在计时比赛的过程中提醒并记录。</w:t>
      </w:r>
    </w:p>
    <w:p>
      <w:pPr>
        <w:keepNext w:val="0"/>
        <w:keepLines w:val="0"/>
        <w:pageBreakBefore w:val="0"/>
        <w:widowControl w:val="0"/>
        <w:kinsoku/>
        <w:wordWrap/>
        <w:overflowPunct/>
        <w:topLinePunct w:val="0"/>
        <w:autoSpaceDE/>
        <w:autoSpaceDN/>
        <w:bidi w:val="0"/>
        <w:adjustRightInd/>
        <w:snapToGrid/>
        <w:spacing w:before="0" w:after="0" w:line="440" w:lineRule="exact"/>
        <w:ind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Arial" w:eastAsia="仿宋_GB2312"/>
          <w:b/>
          <w:kern w:val="0"/>
          <w:sz w:val="32"/>
          <w:szCs w:val="32"/>
        </w:rPr>
        <w:t>3</w:t>
      </w:r>
      <w:r>
        <w:rPr>
          <w:rFonts w:ascii="仿宋_GB2312" w:hAnsi="Arial" w:eastAsia="仿宋_GB2312"/>
          <w:b/>
          <w:kern w:val="0"/>
          <w:sz w:val="32"/>
          <w:szCs w:val="32"/>
        </w:rPr>
        <w:t>.</w:t>
      </w:r>
      <w:r>
        <w:rPr>
          <w:rFonts w:hint="eastAsia" w:ascii="仿宋_GB2312" w:hAnsi="Arial" w:eastAsia="仿宋_GB2312"/>
          <w:b/>
          <w:kern w:val="0"/>
          <w:sz w:val="32"/>
          <w:szCs w:val="32"/>
        </w:rPr>
        <w:t>参赛队员：</w:t>
      </w:r>
      <w:r>
        <w:rPr>
          <w:rFonts w:hint="eastAsia" w:ascii="仿宋_GB2312" w:hAnsi="仿宋_GB2312" w:eastAsia="仿宋_GB2312" w:cs="仿宋_GB2312"/>
          <w:sz w:val="32"/>
          <w:szCs w:val="32"/>
        </w:rPr>
        <w:t xml:space="preserve">每支参赛队应由 2名学生和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 名教练员组成。学生必须是截止到 2021 年 6 月仍然在校的学生。</w:t>
      </w:r>
      <w:r>
        <w:rPr>
          <w:rFonts w:hint="eastAsia" w:ascii="仿宋_GB2312" w:hAnsi="仿宋_GB2312" w:eastAsia="仿宋_GB2312" w:cs="仿宋_GB2312"/>
          <w:sz w:val="32"/>
          <w:szCs w:val="32"/>
          <w:lang w:val="en-US" w:eastAsia="zh-CN"/>
        </w:rPr>
        <w:t>组别设置为小学、初中、高中（含中职）组。</w:t>
      </w:r>
    </w:p>
    <w:p>
      <w:pPr>
        <w:widowControl/>
        <w:spacing w:line="440" w:lineRule="exact"/>
        <w:ind w:firstLine="643" w:firstLineChars="200"/>
        <w:jc w:val="left"/>
        <w:rPr>
          <w:rFonts w:hint="eastAsia" w:ascii="仿宋_GB2312" w:hAnsi="Arial" w:eastAsia="仿宋_GB2312"/>
          <w:kern w:val="0"/>
          <w:sz w:val="32"/>
          <w:szCs w:val="32"/>
        </w:rPr>
      </w:pPr>
      <w:r>
        <w:rPr>
          <w:rFonts w:ascii="仿宋_GB2312" w:hAnsi="Arial" w:eastAsia="仿宋_GB2312"/>
          <w:b/>
          <w:kern w:val="0"/>
          <w:sz w:val="32"/>
          <w:szCs w:val="32"/>
        </w:rPr>
        <w:t>4</w:t>
      </w:r>
      <w:r>
        <w:rPr>
          <w:rFonts w:hint="eastAsia" w:ascii="仿宋_GB2312" w:hAnsi="Arial" w:eastAsia="仿宋_GB2312"/>
          <w:b/>
          <w:kern w:val="0"/>
          <w:sz w:val="32"/>
          <w:szCs w:val="32"/>
        </w:rPr>
        <w:t>.轮次：</w:t>
      </w:r>
      <w:r>
        <w:rPr>
          <w:rFonts w:hint="eastAsia" w:ascii="仿宋_GB2312" w:hAnsi="Arial" w:eastAsia="仿宋_GB2312"/>
          <w:kern w:val="0"/>
          <w:sz w:val="32"/>
          <w:szCs w:val="32"/>
        </w:rPr>
        <w:t>比赛进行</w:t>
      </w:r>
      <w:r>
        <w:rPr>
          <w:rFonts w:ascii="仿宋_GB2312" w:hAnsi="Arial" w:eastAsia="仿宋_GB2312"/>
          <w:kern w:val="0"/>
          <w:sz w:val="32"/>
          <w:szCs w:val="32"/>
        </w:rPr>
        <w:t>3</w:t>
      </w:r>
      <w:r>
        <w:rPr>
          <w:rFonts w:hint="eastAsia" w:ascii="仿宋_GB2312" w:hAnsi="Arial" w:eastAsia="仿宋_GB2312"/>
          <w:kern w:val="0"/>
          <w:sz w:val="32"/>
          <w:szCs w:val="32"/>
        </w:rPr>
        <w:t>轮。比赛前有不少于1小时的调试时间，时间截止后，机器人在候场区内由学生自行保管，编程用的电脑统一上缴封存，直至当轮比赛结束后发还。</w:t>
      </w:r>
    </w:p>
    <w:p>
      <w:pPr>
        <w:widowControl/>
        <w:spacing w:line="440" w:lineRule="exact"/>
        <w:ind w:firstLine="643" w:firstLineChars="200"/>
        <w:jc w:val="left"/>
        <w:rPr>
          <w:rFonts w:ascii="仿宋_GB2312" w:hAnsi="Arial" w:eastAsia="仿宋_GB2312"/>
          <w:kern w:val="0"/>
          <w:sz w:val="32"/>
          <w:szCs w:val="32"/>
        </w:rPr>
      </w:pPr>
      <w:r>
        <w:rPr>
          <w:rFonts w:hint="eastAsia" w:ascii="仿宋_GB2312" w:hAnsi="Arial" w:eastAsia="仿宋_GB2312"/>
          <w:b/>
          <w:kern w:val="0"/>
          <w:sz w:val="32"/>
          <w:szCs w:val="32"/>
        </w:rPr>
        <w:t>4.成绩排名：</w:t>
      </w:r>
      <w:r>
        <w:rPr>
          <w:rFonts w:hint="eastAsia" w:ascii="仿宋_GB2312" w:hAnsi="Arial" w:eastAsia="仿宋_GB2312"/>
          <w:kern w:val="0"/>
          <w:sz w:val="32"/>
          <w:szCs w:val="32"/>
        </w:rPr>
        <w:t>以每支队伍两轮的比赛最高分数总和做排序依据，如总分相同，看第三轮次获得分数来做排序依据；若还相同，将依据两轮最高得分时间总和判断来做排序。</w:t>
      </w:r>
    </w:p>
    <w:p>
      <w:pPr>
        <w:widowControl/>
        <w:spacing w:line="440" w:lineRule="exact"/>
        <w:ind w:firstLine="643" w:firstLineChars="200"/>
        <w:jc w:val="left"/>
        <w:rPr>
          <w:rFonts w:ascii="仿宋_GB2312" w:hAnsi="Arial" w:eastAsia="仿宋_GB2312"/>
          <w:kern w:val="0"/>
          <w:sz w:val="32"/>
          <w:szCs w:val="32"/>
        </w:rPr>
      </w:pPr>
      <w:r>
        <w:rPr>
          <w:rFonts w:hint="eastAsia" w:ascii="仿宋_GB2312" w:hAnsi="Arial" w:eastAsia="仿宋_GB2312"/>
          <w:b/>
          <w:kern w:val="0"/>
          <w:sz w:val="32"/>
          <w:szCs w:val="32"/>
        </w:rPr>
        <w:t>5</w:t>
      </w:r>
      <w:r>
        <w:rPr>
          <w:rFonts w:ascii="仿宋_GB2312" w:hAnsi="Arial" w:eastAsia="仿宋_GB2312"/>
          <w:b/>
          <w:kern w:val="0"/>
          <w:sz w:val="32"/>
          <w:szCs w:val="32"/>
        </w:rPr>
        <w:t>.</w:t>
      </w:r>
      <w:r>
        <w:rPr>
          <w:rFonts w:hint="eastAsia" w:ascii="仿宋_GB2312" w:hAnsi="Arial" w:eastAsia="仿宋_GB2312"/>
          <w:b/>
          <w:kern w:val="0"/>
          <w:sz w:val="32"/>
          <w:szCs w:val="32"/>
        </w:rPr>
        <w:t>器材检查</w:t>
      </w:r>
      <w:r>
        <w:rPr>
          <w:rFonts w:hint="eastAsia" w:ascii="仿宋_GB2312" w:hAnsi="Arial" w:eastAsia="仿宋_GB2312"/>
          <w:kern w:val="0"/>
          <w:sz w:val="32"/>
          <w:szCs w:val="32"/>
        </w:rPr>
        <w:t>：在每次比赛时，将所有器材从收纳盒中取出，然后向裁判展示你可以将它们全部放入如下图所示的检查空间中的一个。每个空间都有一个高1</w:t>
      </w:r>
      <w:r>
        <w:rPr>
          <w:rFonts w:ascii="仿宋_GB2312" w:hAnsi="Arial" w:eastAsia="仿宋_GB2312"/>
          <w:kern w:val="0"/>
          <w:sz w:val="32"/>
          <w:szCs w:val="32"/>
        </w:rPr>
        <w:t>2.0</w:t>
      </w:r>
      <w:r>
        <w:rPr>
          <w:rFonts w:hint="eastAsia" w:ascii="仿宋_GB2312" w:hAnsi="Arial" w:eastAsia="仿宋_GB2312"/>
          <w:kern w:val="0"/>
          <w:sz w:val="32"/>
          <w:szCs w:val="32"/>
        </w:rPr>
        <w:t>英寸（3</w:t>
      </w:r>
      <w:r>
        <w:rPr>
          <w:rFonts w:ascii="仿宋_GB2312" w:hAnsi="Arial" w:eastAsia="仿宋_GB2312"/>
          <w:kern w:val="0"/>
          <w:sz w:val="32"/>
          <w:szCs w:val="32"/>
        </w:rPr>
        <w:t>05</w:t>
      </w:r>
      <w:r>
        <w:rPr>
          <w:rFonts w:hint="eastAsia" w:ascii="仿宋_GB2312" w:hAnsi="Arial" w:eastAsia="仿宋_GB2312"/>
          <w:kern w:val="0"/>
          <w:sz w:val="32"/>
          <w:szCs w:val="32"/>
        </w:rPr>
        <w:t>毫米）的顶棚。如无法放入大空间，则需要拆下无法容纳的部分或将其送至候场区。检查结束后，检查空间将不复存在。根据自己的喜好将物品分散放置在返回区的各个位</w:t>
      </w:r>
      <w:r>
        <w:drawing>
          <wp:anchor distT="0" distB="0" distL="114300" distR="114300" simplePos="0" relativeHeight="251670528" behindDoc="0" locked="0" layoutInCell="1" allowOverlap="1">
            <wp:simplePos x="0" y="0"/>
            <wp:positionH relativeFrom="column">
              <wp:posOffset>390525</wp:posOffset>
            </wp:positionH>
            <wp:positionV relativeFrom="paragraph">
              <wp:posOffset>561975</wp:posOffset>
            </wp:positionV>
            <wp:extent cx="4181475" cy="1933575"/>
            <wp:effectExtent l="0" t="0" r="9525"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81475" cy="1933575"/>
                    </a:xfrm>
                    <a:prstGeom prst="rect">
                      <a:avLst/>
                    </a:prstGeom>
                  </pic:spPr>
                </pic:pic>
              </a:graphicData>
            </a:graphic>
          </wp:anchor>
        </w:drawing>
      </w:r>
      <w:r>
        <w:rPr>
          <w:rFonts w:hint="eastAsia" w:ascii="仿宋_GB2312" w:hAnsi="Arial" w:eastAsia="仿宋_GB2312"/>
          <w:kern w:val="0"/>
          <w:sz w:val="32"/>
          <w:szCs w:val="32"/>
        </w:rPr>
        <w:t>置。</w:t>
      </w: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0" w:firstLineChars="200"/>
        <w:jc w:val="left"/>
        <w:rPr>
          <w:rFonts w:hint="eastAsia" w:ascii="仿宋_GB2312" w:hAnsi="Arial" w:eastAsia="仿宋_GB2312"/>
          <w:kern w:val="0"/>
          <w:sz w:val="32"/>
          <w:szCs w:val="32"/>
        </w:rPr>
      </w:pPr>
    </w:p>
    <w:p>
      <w:pPr>
        <w:widowControl/>
        <w:spacing w:line="440" w:lineRule="exact"/>
        <w:ind w:firstLine="640" w:firstLineChars="200"/>
        <w:jc w:val="left"/>
        <w:rPr>
          <w:rFonts w:ascii="仿宋_GB2312" w:hAnsi="Arial" w:eastAsia="仿宋_GB2312"/>
          <w:kern w:val="0"/>
          <w:sz w:val="32"/>
          <w:szCs w:val="32"/>
        </w:rPr>
      </w:pP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6</w:t>
      </w:r>
      <w:r>
        <w:rPr>
          <w:rFonts w:ascii="仿宋_GB2312" w:hAnsi="Arial" w:eastAsia="仿宋_GB2312"/>
          <w:b/>
          <w:kern w:val="0"/>
          <w:sz w:val="32"/>
          <w:szCs w:val="32"/>
        </w:rPr>
        <w:t>.</w:t>
      </w:r>
      <w:r>
        <w:rPr>
          <w:rFonts w:hint="eastAsia" w:ascii="仿宋_GB2312" w:hAnsi="Arial" w:eastAsia="仿宋_GB2312"/>
          <w:b/>
          <w:kern w:val="0"/>
          <w:sz w:val="32"/>
          <w:szCs w:val="32"/>
        </w:rPr>
        <w:t>出发区：</w:t>
      </w:r>
      <w:r>
        <w:rPr>
          <w:rFonts w:hint="eastAsia" w:ascii="仿宋_GB2312" w:hAnsi="Arial" w:eastAsia="仿宋_GB2312"/>
          <w:kern w:val="0"/>
          <w:sz w:val="32"/>
          <w:szCs w:val="32"/>
        </w:rPr>
        <w:t>下方标记为出发区的空间。该空间不设顶棚。出发区具有特殊用途的一部分返回区。但此用途只作为出发时</w:t>
      </w:r>
    </w:p>
    <w:p>
      <w:pPr>
        <w:widowControl/>
        <w:spacing w:line="440" w:lineRule="exact"/>
        <w:ind w:firstLine="420" w:firstLineChars="200"/>
        <w:jc w:val="left"/>
        <w:rPr>
          <w:rFonts w:ascii="仿宋_GB2312" w:hAnsi="Arial" w:eastAsia="仿宋_GB2312"/>
          <w:kern w:val="0"/>
          <w:sz w:val="32"/>
          <w:szCs w:val="32"/>
        </w:rPr>
      </w:pPr>
      <w:r>
        <w:drawing>
          <wp:anchor distT="0" distB="0" distL="114300" distR="114300" simplePos="0" relativeHeight="251671552" behindDoc="0" locked="0" layoutInCell="1" allowOverlap="1">
            <wp:simplePos x="0" y="0"/>
            <wp:positionH relativeFrom="column">
              <wp:posOffset>371475</wp:posOffset>
            </wp:positionH>
            <wp:positionV relativeFrom="paragraph">
              <wp:posOffset>9525</wp:posOffset>
            </wp:positionV>
            <wp:extent cx="3714750" cy="171450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14750" cy="1714500"/>
                    </a:xfrm>
                    <a:prstGeom prst="rect">
                      <a:avLst/>
                    </a:prstGeom>
                  </pic:spPr>
                </pic:pic>
              </a:graphicData>
            </a:graphic>
          </wp:anchor>
        </w:drawing>
      </w:r>
    </w:p>
    <w:p>
      <w:pPr>
        <w:widowControl/>
        <w:spacing w:line="440" w:lineRule="exact"/>
        <w:ind w:firstLine="560" w:firstLineChars="200"/>
        <w:jc w:val="left"/>
        <w:rPr>
          <w:rFonts w:hint="eastAsia" w:ascii="仿宋_GB2312" w:hAnsi="Arial" w:eastAsia="仿宋_GB2312"/>
          <w:sz w:val="28"/>
        </w:rPr>
      </w:pPr>
    </w:p>
    <w:p>
      <w:pPr>
        <w:widowControl/>
        <w:spacing w:line="440" w:lineRule="exact"/>
        <w:ind w:firstLine="643" w:firstLineChars="200"/>
        <w:jc w:val="left"/>
        <w:rPr>
          <w:rFonts w:ascii="仿宋_GB2312" w:hAnsi="Arial" w:eastAsia="仿宋_GB2312"/>
          <w:b/>
          <w:kern w:val="0"/>
          <w:sz w:val="32"/>
          <w:szCs w:val="32"/>
        </w:rPr>
      </w:pPr>
    </w:p>
    <w:p>
      <w:pPr>
        <w:widowControl/>
        <w:spacing w:line="440" w:lineRule="exact"/>
        <w:ind w:firstLine="643" w:firstLineChars="200"/>
        <w:jc w:val="left"/>
        <w:rPr>
          <w:rFonts w:ascii="仿宋_GB2312" w:hAnsi="Arial" w:eastAsia="仿宋_GB2312"/>
          <w:b/>
          <w:kern w:val="0"/>
          <w:sz w:val="32"/>
          <w:szCs w:val="32"/>
        </w:rPr>
      </w:pPr>
    </w:p>
    <w:p>
      <w:pPr>
        <w:widowControl/>
        <w:spacing w:line="440" w:lineRule="exact"/>
        <w:ind w:firstLine="643" w:firstLineChars="200"/>
        <w:jc w:val="left"/>
        <w:rPr>
          <w:rFonts w:ascii="仿宋_GB2312" w:hAnsi="Arial" w:eastAsia="仿宋_GB2312"/>
          <w:b/>
          <w:kern w:val="0"/>
          <w:sz w:val="32"/>
          <w:szCs w:val="32"/>
        </w:rPr>
      </w:pPr>
    </w:p>
    <w:p>
      <w:pPr>
        <w:widowControl/>
        <w:spacing w:line="440" w:lineRule="exact"/>
        <w:ind w:firstLine="643" w:firstLineChars="200"/>
        <w:jc w:val="left"/>
        <w:rPr>
          <w:rFonts w:ascii="仿宋_GB2312" w:hAnsi="Arial" w:eastAsia="仿宋_GB2312"/>
          <w:b/>
          <w:kern w:val="0"/>
          <w:sz w:val="32"/>
          <w:szCs w:val="32"/>
        </w:rPr>
      </w:pPr>
    </w:p>
    <w:p>
      <w:pPr>
        <w:widowControl/>
        <w:spacing w:line="440" w:lineRule="exact"/>
        <w:ind w:firstLine="643" w:firstLineChars="200"/>
        <w:jc w:val="left"/>
        <w:rPr>
          <w:rFonts w:ascii="仿宋_GB2312" w:hAnsi="Arial" w:eastAsia="仿宋_GB2312"/>
          <w:b/>
          <w:kern w:val="0"/>
          <w:sz w:val="32"/>
          <w:szCs w:val="32"/>
        </w:rPr>
      </w:pPr>
    </w:p>
    <w:p>
      <w:pPr>
        <w:widowControl/>
        <w:spacing w:line="440" w:lineRule="exact"/>
        <w:ind w:firstLine="643" w:firstLineChars="200"/>
        <w:jc w:val="left"/>
        <w:rPr>
          <w:rFonts w:hint="eastAsia" w:ascii="仿宋_GB2312" w:hAnsi="Arial" w:eastAsia="仿宋_GB2312"/>
          <w:kern w:val="0"/>
          <w:sz w:val="32"/>
          <w:szCs w:val="32"/>
        </w:rPr>
      </w:pPr>
      <w:r>
        <w:rPr>
          <w:rFonts w:ascii="仿宋_GB2312" w:hAnsi="Arial" w:eastAsia="仿宋_GB2312"/>
          <w:b/>
          <w:kern w:val="0"/>
          <w:sz w:val="32"/>
          <w:szCs w:val="32"/>
        </w:rPr>
        <w:t>7</w:t>
      </w:r>
      <w:r>
        <w:rPr>
          <w:rFonts w:hint="eastAsia" w:ascii="仿宋_GB2312" w:hAnsi="Arial" w:eastAsia="仿宋_GB2312"/>
          <w:b/>
          <w:kern w:val="0"/>
          <w:sz w:val="32"/>
          <w:szCs w:val="32"/>
        </w:rPr>
        <w:t>.机器人：</w:t>
      </w:r>
      <w:r>
        <w:rPr>
          <w:rFonts w:hint="eastAsia" w:ascii="仿宋_GB2312" w:hAnsi="Arial" w:eastAsia="仿宋_GB2312"/>
          <w:kern w:val="0"/>
          <w:sz w:val="32"/>
          <w:szCs w:val="32"/>
        </w:rPr>
        <w:t>机器人尺寸、任务模型和完成任务的策略物体从基地出发和返回时均不能超过基地范围。出发完全离开基地后，机器人可做展开动作。</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任务模型和完成任务的策略物体不属于机器人。机器人设计中不允许使用金属结构部件，不得使用定制产品或3D打印的复合型零件。电子系统在每轮比赛过程中最多使用1个控制器,控制器的输入接口和输出接口不得超过各4个。即最多使用4个马达和4个单一回馈值的传感器，传感器范围仅限触动传感器，光电传感器，颜色传感器，角度传感器，超声波传感器，陀螺仪传感器的任意组合，同时电池电压不能超过10v，容量不得超过2200mAh。</w:t>
      </w:r>
    </w:p>
    <w:p>
      <w:pPr>
        <w:widowControl/>
        <w:spacing w:line="440" w:lineRule="exact"/>
        <w:ind w:firstLine="643" w:firstLineChars="200"/>
        <w:jc w:val="left"/>
        <w:rPr>
          <w:rFonts w:hint="eastAsia" w:ascii="仿宋_GB2312" w:hAnsi="Arial" w:eastAsia="仿宋_GB2312"/>
          <w:kern w:val="0"/>
          <w:sz w:val="32"/>
          <w:szCs w:val="32"/>
        </w:rPr>
      </w:pPr>
      <w:r>
        <w:rPr>
          <w:rFonts w:ascii="仿宋_GB2312" w:hAnsi="Arial" w:eastAsia="仿宋_GB2312"/>
          <w:b/>
          <w:kern w:val="0"/>
          <w:sz w:val="32"/>
          <w:szCs w:val="32"/>
        </w:rPr>
        <w:t>8</w:t>
      </w:r>
      <w:r>
        <w:rPr>
          <w:rFonts w:hint="eastAsia" w:ascii="仿宋_GB2312" w:hAnsi="Arial" w:eastAsia="仿宋_GB2312"/>
          <w:b/>
          <w:kern w:val="0"/>
          <w:sz w:val="32"/>
          <w:szCs w:val="32"/>
        </w:rPr>
        <w:t>.自动控制：</w:t>
      </w:r>
      <w:r>
        <w:rPr>
          <w:rFonts w:hint="eastAsia" w:ascii="仿宋_GB2312" w:hAnsi="Arial" w:eastAsia="仿宋_GB2312"/>
          <w:kern w:val="0"/>
          <w:sz w:val="32"/>
          <w:szCs w:val="32"/>
        </w:rPr>
        <w:t>机器人必须自动运行，即机器人离开基地后自动地去完成任务，然后根据需要自动返回基地。大多数机器人需要多次执行任务。</w:t>
      </w:r>
    </w:p>
    <w:p>
      <w:pPr>
        <w:widowControl/>
        <w:spacing w:line="440" w:lineRule="exact"/>
        <w:ind w:firstLine="643" w:firstLineChars="200"/>
        <w:jc w:val="left"/>
        <w:rPr>
          <w:rFonts w:hint="eastAsia" w:ascii="仿宋_GB2312" w:hAnsi="Arial" w:eastAsia="仿宋_GB2312"/>
          <w:kern w:val="0"/>
          <w:sz w:val="32"/>
          <w:szCs w:val="32"/>
        </w:rPr>
      </w:pPr>
      <w:r>
        <w:rPr>
          <w:rFonts w:ascii="仿宋_GB2312" w:hAnsi="Arial" w:eastAsia="仿宋_GB2312"/>
          <w:b/>
          <w:kern w:val="0"/>
          <w:sz w:val="32"/>
          <w:szCs w:val="32"/>
        </w:rPr>
        <w:t>9</w:t>
      </w:r>
      <w:r>
        <w:rPr>
          <w:rFonts w:hint="eastAsia" w:ascii="仿宋_GB2312" w:hAnsi="Arial" w:eastAsia="仿宋_GB2312"/>
          <w:b/>
          <w:kern w:val="0"/>
          <w:sz w:val="32"/>
          <w:szCs w:val="32"/>
        </w:rPr>
        <w:t>.处罚：</w:t>
      </w:r>
      <w:r>
        <w:rPr>
          <w:rFonts w:hint="eastAsia" w:ascii="仿宋_GB2312" w:hAnsi="Arial" w:eastAsia="仿宋_GB2312"/>
          <w:kern w:val="0"/>
          <w:sz w:val="32"/>
          <w:szCs w:val="32"/>
        </w:rPr>
        <w:t xml:space="preserve">要干预机器人，应当让它停止运行并带回返回区。如果机器人完全位于返回区：没有问题。如果机器人没有完全位于返回区：失去一个奖惩牌。 </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9.合作：</w:t>
      </w:r>
      <w:r>
        <w:rPr>
          <w:rFonts w:hint="eastAsia" w:ascii="仿宋_GB2312" w:hAnsi="Arial" w:eastAsia="仿宋_GB2312"/>
          <w:kern w:val="0"/>
          <w:sz w:val="32"/>
          <w:szCs w:val="32"/>
        </w:rPr>
        <w:t>在比赛期间，队伍中的两名队员需要密切合作，共同完成任务。</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10.操作定义：</w:t>
      </w:r>
      <w:r>
        <w:rPr>
          <w:rFonts w:hint="eastAsia" w:ascii="仿宋_GB2312" w:hAnsi="Arial" w:eastAsia="仿宋_GB2312"/>
          <w:kern w:val="0"/>
          <w:sz w:val="32"/>
          <w:szCs w:val="32"/>
        </w:rPr>
        <w:t>为了避免在词语理解上发生争执，下面对任务、规则和物体（机器人）的位置进行定义。</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●在里面／进入／到（把区域作为目标）：物体的任何一部分只需要越过目标的外边缘。</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●在里面／进入（把容器作为目标）：物体被容器所包住，至少有五个方向不能移动。</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●在外面（把区域和容器作为目标）：物体的任何一部分都不在目标里面（这表示物体必须完全在外面）。</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●在上面／到上面（把物体作为目标）：目标物体必须能够支撑物体的所有重量。当物体也被其他物体支撑时，由裁判来评判移开其他支撑物体时，目标物体是否能够支撑物体的所有重量。</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●脱离／拿走（把物体作为目标）：目标物体在任何方向上都不能支撑被取物体的重量。</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●接触（针对任何目标）：物体本身必须要与目标直接接触。</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 xml:space="preserve">  ●完全：物体的任何一部分都要满足条件。</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11.机器人携带物：</w:t>
      </w:r>
      <w:r>
        <w:rPr>
          <w:rFonts w:hint="eastAsia" w:ascii="仿宋_GB2312" w:hAnsi="Arial" w:eastAsia="仿宋_GB2312"/>
          <w:kern w:val="0"/>
          <w:sz w:val="32"/>
          <w:szCs w:val="32"/>
        </w:rPr>
        <w:t>凡是机器人所携带的物品都被定义为参赛队的设备。可以在准备模式期间手动处理，或者由机器人自动使用。</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12.得分物体：</w:t>
      </w:r>
      <w:r>
        <w:rPr>
          <w:rFonts w:hint="eastAsia" w:ascii="仿宋_GB2312" w:hAnsi="Arial" w:eastAsia="仿宋_GB2312"/>
          <w:kern w:val="0"/>
          <w:sz w:val="32"/>
          <w:szCs w:val="32"/>
        </w:rPr>
        <w:t>根据他们所在位置能够获得分数的物体。要得到分数，每个得分物本身必须满足任务得分的要求，与机器人或任何策略物体的位置无关。禁止包住、连接或者互相连接得分物体，但可以把得分物放到策略容器里。</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13.散落物体：</w:t>
      </w:r>
      <w:r>
        <w:rPr>
          <w:rFonts w:hint="eastAsia" w:ascii="仿宋_GB2312" w:hAnsi="Arial" w:eastAsia="仿宋_GB2312"/>
          <w:kern w:val="0"/>
          <w:sz w:val="32"/>
          <w:szCs w:val="32"/>
        </w:rPr>
        <w:t>所有在比赛过程中由于机器人运行造成散落在场地上的物品在比赛过程中都不得用手对其进行移动、恢复、改变，包括裁判在内。</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14.失去接触：</w:t>
      </w:r>
      <w:r>
        <w:rPr>
          <w:rFonts w:hint="eastAsia" w:ascii="仿宋_GB2312" w:hAnsi="Arial" w:eastAsia="仿宋_GB2312"/>
          <w:kern w:val="0"/>
          <w:sz w:val="32"/>
          <w:szCs w:val="32"/>
        </w:rPr>
        <w:t>如果机器人处于自主模式，并且与物体失去接触，那么该物体将保留在原地。</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15.预备模式：</w:t>
      </w:r>
      <w:r>
        <w:rPr>
          <w:rFonts w:hint="eastAsia" w:ascii="仿宋_GB2312" w:hAnsi="Arial" w:eastAsia="仿宋_GB2312"/>
          <w:kern w:val="0"/>
          <w:sz w:val="32"/>
          <w:szCs w:val="32"/>
        </w:rPr>
        <w:t>在比赛开始前或在每次启动前，机器人处于预备模式。这个时候，机器人必须完全处于基地内，队员可以用手进行必要的处理，如维修、更换附加装置、安装或卸载物体、调整机械结构、按开关、给传感器信号以及瞄准。</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16.出发位置：</w:t>
      </w:r>
      <w:r>
        <w:rPr>
          <w:rFonts w:hint="eastAsia" w:ascii="仿宋_GB2312" w:hAnsi="Arial" w:eastAsia="仿宋_GB2312"/>
          <w:kern w:val="0"/>
          <w:sz w:val="32"/>
          <w:szCs w:val="32"/>
        </w:rPr>
        <w:t>机器人启动时，机器人的每一部分及与它相连的任何物体必须完全在基地里。</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17.启动程序：</w:t>
      </w:r>
      <w:r>
        <w:rPr>
          <w:rFonts w:hint="eastAsia" w:ascii="仿宋_GB2312" w:hAnsi="Arial" w:eastAsia="仿宋_GB2312"/>
          <w:kern w:val="0"/>
          <w:sz w:val="32"/>
          <w:szCs w:val="32"/>
        </w:rPr>
        <w:t>允许参赛队用以下三种方式启动机器人：按下按钮、给传感器信号、等待一个正在运行或停止的程序继续运行。在整个启动过程中不允许队员以其它方式操作机器人。启动后，机器人进入过渡模式。</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18.过渡模式：</w:t>
      </w:r>
      <w:r>
        <w:rPr>
          <w:rFonts w:hint="eastAsia" w:ascii="仿宋_GB2312" w:hAnsi="Arial" w:eastAsia="仿宋_GB2312"/>
          <w:kern w:val="0"/>
          <w:sz w:val="32"/>
          <w:szCs w:val="32"/>
        </w:rPr>
        <w:t>启动后到出机器人完全驶出基地前，机器人处于过渡模式中。此时，机器人不能进行任何操作但可以携带与机器人已经有接触的物体离开基地（机器人携带物）。在机器人处于自主模式前，不允许与物体失去接触或与物体接触。在过渡模式中，如队员碰到机器人，那么必须进入预备模式，这时队员可以对任何物体进行操作，但不会进行接触处罚。</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19.自主模式：</w:t>
      </w:r>
      <w:r>
        <w:rPr>
          <w:rFonts w:hint="eastAsia" w:ascii="仿宋_GB2312" w:hAnsi="Arial" w:eastAsia="仿宋_GB2312"/>
          <w:kern w:val="0"/>
          <w:sz w:val="32"/>
          <w:szCs w:val="32"/>
        </w:rPr>
        <w:t>当机器人在基地外面时，机器人处于自主模式，在机器人完全返回基地前，可以自由的执行任务。如果队员在自主模式中接触机器人（称为“营救”），必须进入预备模式；同时获得接触处罚。</w:t>
      </w:r>
    </w:p>
    <w:p>
      <w:pPr>
        <w:widowControl/>
        <w:spacing w:line="440" w:lineRule="exact"/>
        <w:ind w:firstLine="640" w:firstLineChars="200"/>
        <w:jc w:val="left"/>
        <w:rPr>
          <w:rFonts w:hint="eastAsia" w:ascii="仿宋_GB2312" w:hAnsi="Arial" w:eastAsia="仿宋_GB2312"/>
          <w:kern w:val="0"/>
          <w:sz w:val="32"/>
          <w:szCs w:val="32"/>
        </w:rPr>
      </w:pPr>
      <w:r>
        <w:rPr>
          <w:rFonts w:hint="eastAsia" w:ascii="仿宋_GB2312" w:hAnsi="Arial" w:eastAsia="仿宋_GB2312"/>
          <w:kern w:val="0"/>
          <w:sz w:val="32"/>
          <w:szCs w:val="32"/>
        </w:rPr>
        <w:t>当机器人的所有部分回到基地范围后（掉落和释放在场地上物体除外），机器人才能解除自主模式，转为预备模式。</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2</w:t>
      </w:r>
      <w:r>
        <w:rPr>
          <w:rFonts w:ascii="仿宋_GB2312" w:hAnsi="Arial" w:eastAsia="仿宋_GB2312"/>
          <w:b/>
          <w:kern w:val="0"/>
          <w:sz w:val="32"/>
          <w:szCs w:val="32"/>
        </w:rPr>
        <w:t>0</w:t>
      </w:r>
      <w:r>
        <w:rPr>
          <w:rFonts w:hint="eastAsia" w:ascii="仿宋_GB2312" w:hAnsi="Arial" w:eastAsia="仿宋_GB2312"/>
          <w:b/>
          <w:kern w:val="0"/>
          <w:sz w:val="32"/>
          <w:szCs w:val="32"/>
        </w:rPr>
        <w:t>.机器人损坏：</w:t>
      </w:r>
      <w:r>
        <w:rPr>
          <w:rFonts w:hint="eastAsia" w:ascii="仿宋_GB2312" w:hAnsi="Arial" w:eastAsia="仿宋_GB2312"/>
          <w:kern w:val="0"/>
          <w:sz w:val="32"/>
          <w:szCs w:val="32"/>
        </w:rPr>
        <w:t>在比赛过程中，机器人部件掉落而导致机器人损坏，本届比赛不允许任何人在比赛过程中手动取回掉落的部件。</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2</w:t>
      </w:r>
      <w:r>
        <w:rPr>
          <w:rFonts w:ascii="仿宋_GB2312" w:hAnsi="Arial" w:eastAsia="仿宋_GB2312"/>
          <w:b/>
          <w:kern w:val="0"/>
          <w:sz w:val="32"/>
          <w:szCs w:val="32"/>
        </w:rPr>
        <w:t>1</w:t>
      </w:r>
      <w:r>
        <w:rPr>
          <w:rFonts w:hint="eastAsia" w:ascii="仿宋_GB2312" w:hAnsi="Arial" w:eastAsia="仿宋_GB2312"/>
          <w:b/>
          <w:kern w:val="0"/>
          <w:sz w:val="32"/>
          <w:szCs w:val="32"/>
        </w:rPr>
        <w:t>.场地损坏：</w:t>
      </w:r>
      <w:r>
        <w:rPr>
          <w:rFonts w:hint="eastAsia" w:ascii="仿宋_GB2312" w:hAnsi="Arial" w:eastAsia="仿宋_GB2312"/>
          <w:kern w:val="0"/>
          <w:sz w:val="32"/>
          <w:szCs w:val="32"/>
        </w:rPr>
        <w:t>除了规则中允许的，参赛队不允许触碰基地外的任务模型，不允许机器人毁坏任务模型，队员不可以用手按压基地以外的场地纸，以辅助完成任务。参赛队必须使用比赛提供的任务模型，而不能携带相同的复制品到比赛区域，不能动手修复场地模型。如果有其它人为情况引起的模型破坏、故障、移动、激活（而非机器人的正常动作引起的），裁判可应队员申请将其恢复，并根据情况确定得分情况。有意损坏场地的行为将受到警告，并将导致失去得分。</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2</w:t>
      </w:r>
      <w:r>
        <w:rPr>
          <w:rFonts w:ascii="仿宋_GB2312" w:hAnsi="Arial" w:eastAsia="仿宋_GB2312"/>
          <w:b/>
          <w:kern w:val="0"/>
          <w:sz w:val="32"/>
          <w:szCs w:val="32"/>
        </w:rPr>
        <w:t>2</w:t>
      </w:r>
      <w:r>
        <w:rPr>
          <w:rFonts w:hint="eastAsia" w:ascii="仿宋_GB2312" w:hAnsi="Arial" w:eastAsia="仿宋_GB2312"/>
          <w:b/>
          <w:kern w:val="0"/>
          <w:sz w:val="32"/>
          <w:szCs w:val="32"/>
        </w:rPr>
        <w:t>.干扰：</w:t>
      </w:r>
      <w:r>
        <w:rPr>
          <w:rFonts w:hint="eastAsia" w:ascii="仿宋_GB2312" w:hAnsi="Arial" w:eastAsia="仿宋_GB2312"/>
          <w:kern w:val="0"/>
          <w:sz w:val="32"/>
          <w:szCs w:val="32"/>
        </w:rPr>
        <w:t>除了需完成跨在两个场地中间的任务时，双方机器人可能碰面，其它任何情况下机器人不允许以任何方式干扰对方的机器人、场地和策略。</w:t>
      </w:r>
    </w:p>
    <w:p>
      <w:pPr>
        <w:widowControl/>
        <w:spacing w:line="440" w:lineRule="exact"/>
        <w:ind w:firstLine="643" w:firstLineChars="200"/>
        <w:jc w:val="left"/>
        <w:rPr>
          <w:rFonts w:hint="eastAsia" w:ascii="仿宋_GB2312" w:hAnsi="Arial" w:eastAsia="仿宋_GB2312"/>
          <w:kern w:val="0"/>
          <w:sz w:val="32"/>
          <w:szCs w:val="32"/>
        </w:rPr>
      </w:pPr>
      <w:r>
        <w:rPr>
          <w:rFonts w:hint="eastAsia" w:ascii="仿宋_GB2312" w:hAnsi="Arial" w:eastAsia="仿宋_GB2312"/>
          <w:b/>
          <w:kern w:val="0"/>
          <w:sz w:val="32"/>
          <w:szCs w:val="32"/>
        </w:rPr>
        <w:t>2</w:t>
      </w:r>
      <w:r>
        <w:rPr>
          <w:rFonts w:ascii="仿宋_GB2312" w:hAnsi="Arial" w:eastAsia="仿宋_GB2312"/>
          <w:b/>
          <w:kern w:val="0"/>
          <w:sz w:val="32"/>
          <w:szCs w:val="32"/>
        </w:rPr>
        <w:t>3</w:t>
      </w:r>
      <w:r>
        <w:rPr>
          <w:rFonts w:hint="eastAsia" w:ascii="仿宋_GB2312" w:hAnsi="Arial" w:eastAsia="仿宋_GB2312"/>
          <w:b/>
          <w:kern w:val="0"/>
          <w:sz w:val="32"/>
          <w:szCs w:val="32"/>
        </w:rPr>
        <w:t>.分数判定：</w:t>
      </w:r>
      <w:r>
        <w:rPr>
          <w:rFonts w:hint="eastAsia" w:ascii="仿宋_GB2312" w:hAnsi="Arial" w:eastAsia="仿宋_GB2312"/>
          <w:kern w:val="0"/>
          <w:sz w:val="32"/>
          <w:szCs w:val="32"/>
        </w:rPr>
        <w:t>为减少争议，比赛结束后，再根据场地上情况来判定分数。如果已经完成的任务被机器人在比赛结束前意外破坏了，就无法得到该分数。</w:t>
      </w:r>
    </w:p>
    <w:p>
      <w:pPr>
        <w:widowControl/>
        <w:spacing w:line="440" w:lineRule="exact"/>
        <w:ind w:firstLine="643" w:firstLineChars="200"/>
        <w:jc w:val="left"/>
        <w:rPr>
          <w:rFonts w:hint="eastAsia" w:ascii="仿宋_GB2312" w:hAnsi="Arial" w:eastAsia="仿宋_GB2312"/>
          <w:sz w:val="28"/>
        </w:rPr>
      </w:pPr>
      <w:r>
        <w:rPr>
          <w:rFonts w:hint="eastAsia" w:ascii="仿宋_GB2312" w:hAnsi="Arial" w:eastAsia="仿宋_GB2312"/>
          <w:b/>
          <w:kern w:val="0"/>
          <w:sz w:val="32"/>
          <w:szCs w:val="32"/>
        </w:rPr>
        <w:t>25.比赛结束：</w:t>
      </w:r>
      <w:r>
        <w:rPr>
          <w:rFonts w:hint="eastAsia" w:ascii="仿宋_GB2312" w:hAnsi="Arial" w:eastAsia="仿宋_GB2312"/>
          <w:kern w:val="0"/>
          <w:sz w:val="32"/>
          <w:szCs w:val="32"/>
        </w:rPr>
        <w:t>每场比赛结束后，裁判未完成计分前,除原位关闭正在运行的机器人外，不允许任何人去碰场地上的东西，裁判独立逐一核对场地上任务得分情况并口头通报参赛队员，队员不得带走任务模型。然后后由裁判督促队员恢复场地模型。</w:t>
      </w: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widowControl/>
        <w:spacing w:line="440" w:lineRule="exact"/>
        <w:jc w:val="left"/>
        <w:rPr>
          <w:rFonts w:ascii="仿宋_GB2312" w:hAnsi="Arial" w:eastAsia="仿宋_GB2312"/>
          <w:kern w:val="0"/>
          <w:sz w:val="32"/>
          <w:szCs w:val="32"/>
        </w:rPr>
      </w:pPr>
    </w:p>
    <w:p>
      <w:pPr>
        <w:jc w:val="center"/>
        <w:rPr>
          <w:sz w:val="28"/>
          <w:szCs w:val="36"/>
        </w:rPr>
      </w:pPr>
      <w:r>
        <w:rPr>
          <w:rFonts w:hint="eastAsia"/>
          <w:sz w:val="28"/>
          <w:szCs w:val="36"/>
        </w:rPr>
        <w:t>FLL机器人工程挑战赛竞赛计分表</w:t>
      </w:r>
    </w:p>
    <w:tbl>
      <w:tblPr>
        <w:tblStyle w:val="5"/>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9"/>
        <w:gridCol w:w="99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9" w:type="dxa"/>
          </w:tcPr>
          <w:p>
            <w:pPr>
              <w:rPr>
                <w:kern w:val="0"/>
                <w:sz w:val="20"/>
              </w:rPr>
            </w:pPr>
            <w:r>
              <w:rPr>
                <w:rFonts w:hint="eastAsia"/>
                <w:kern w:val="0"/>
                <w:sz w:val="20"/>
              </w:rPr>
              <w:t>队名：</w:t>
            </w:r>
          </w:p>
        </w:tc>
        <w:tc>
          <w:tcPr>
            <w:tcW w:w="990" w:type="dxa"/>
          </w:tcPr>
          <w:p>
            <w:pPr>
              <w:rPr>
                <w:kern w:val="0"/>
                <w:sz w:val="20"/>
              </w:rPr>
            </w:pPr>
            <w:r>
              <w:rPr>
                <w:rFonts w:hint="eastAsia"/>
                <w:kern w:val="0"/>
                <w:sz w:val="20"/>
              </w:rPr>
              <w:t>第   轮</w:t>
            </w:r>
          </w:p>
        </w:tc>
        <w:tc>
          <w:tcPr>
            <w:tcW w:w="1605" w:type="dxa"/>
          </w:tcPr>
          <w:p>
            <w:pPr>
              <w:rPr>
                <w:kern w:val="0"/>
                <w:sz w:val="20"/>
              </w:rPr>
            </w:pPr>
            <w:r>
              <w:rPr>
                <w:rFonts w:hint="eastAsia"/>
                <w:kern w:val="0"/>
                <w:sz w:val="20"/>
              </w:rPr>
              <w:t>组别：</w:t>
            </w:r>
          </w:p>
        </w:tc>
      </w:tr>
    </w:tbl>
    <w:p/>
    <w:tbl>
      <w:tblPr>
        <w:tblStyle w:val="5"/>
        <w:tblW w:w="8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530"/>
        <w:gridCol w:w="4219"/>
        <w:gridCol w:w="806"/>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jc w:val="center"/>
              <w:rPr>
                <w:kern w:val="0"/>
                <w:sz w:val="20"/>
              </w:rPr>
            </w:pPr>
            <w:r>
              <w:rPr>
                <w:rFonts w:hint="eastAsia"/>
                <w:kern w:val="0"/>
                <w:sz w:val="20"/>
              </w:rPr>
              <w:t>序号</w:t>
            </w:r>
          </w:p>
        </w:tc>
        <w:tc>
          <w:tcPr>
            <w:tcW w:w="5749" w:type="dxa"/>
            <w:gridSpan w:val="2"/>
          </w:tcPr>
          <w:p>
            <w:pPr>
              <w:jc w:val="center"/>
              <w:rPr>
                <w:kern w:val="0"/>
                <w:sz w:val="20"/>
              </w:rPr>
            </w:pPr>
            <w:r>
              <w:rPr>
                <w:rFonts w:hint="eastAsia"/>
                <w:kern w:val="0"/>
                <w:sz w:val="20"/>
              </w:rPr>
              <w:t>事项</w:t>
            </w:r>
          </w:p>
        </w:tc>
        <w:tc>
          <w:tcPr>
            <w:tcW w:w="806" w:type="dxa"/>
          </w:tcPr>
          <w:p>
            <w:pPr>
              <w:jc w:val="center"/>
              <w:rPr>
                <w:kern w:val="0"/>
                <w:sz w:val="20"/>
              </w:rPr>
            </w:pPr>
            <w:r>
              <w:rPr>
                <w:rFonts w:hint="eastAsia"/>
                <w:kern w:val="0"/>
                <w:sz w:val="20"/>
              </w:rPr>
              <w:t>分值</w:t>
            </w:r>
          </w:p>
        </w:tc>
        <w:tc>
          <w:tcPr>
            <w:tcW w:w="1395" w:type="dxa"/>
          </w:tcPr>
          <w:p>
            <w:pPr>
              <w:jc w:val="center"/>
              <w:rPr>
                <w:kern w:val="0"/>
                <w:sz w:val="20"/>
              </w:rPr>
            </w:pPr>
            <w:r>
              <w:rPr>
                <w:rFonts w:hint="eastAsia"/>
                <w:kern w:val="0"/>
                <w:sz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pPr>
              <w:jc w:val="center"/>
              <w:rPr>
                <w:kern w:val="0"/>
                <w:sz w:val="20"/>
              </w:rPr>
            </w:pPr>
            <w:r>
              <w:rPr>
                <w:rFonts w:hint="eastAsia"/>
                <w:kern w:val="0"/>
                <w:sz w:val="20"/>
              </w:rPr>
              <w:t>M00</w:t>
            </w:r>
          </w:p>
        </w:tc>
        <w:tc>
          <w:tcPr>
            <w:tcW w:w="1530" w:type="dxa"/>
            <w:vAlign w:val="center"/>
          </w:tcPr>
          <w:p>
            <w:pPr>
              <w:jc w:val="center"/>
              <w:rPr>
                <w:kern w:val="0"/>
                <w:sz w:val="20"/>
              </w:rPr>
            </w:pPr>
            <w:r>
              <w:rPr>
                <w:rFonts w:hint="eastAsia"/>
                <w:kern w:val="0"/>
                <w:sz w:val="20"/>
              </w:rPr>
              <w:t>器材检查奖励</w:t>
            </w:r>
          </w:p>
        </w:tc>
        <w:tc>
          <w:tcPr>
            <w:tcW w:w="4219" w:type="dxa"/>
          </w:tcPr>
          <w:p>
            <w:pPr>
              <w:rPr>
                <w:kern w:val="0"/>
                <w:sz w:val="20"/>
              </w:rPr>
            </w:pPr>
            <w:r>
              <w:rPr>
                <w:rFonts w:hint="eastAsia"/>
                <w:kern w:val="0"/>
                <w:sz w:val="20"/>
              </w:rPr>
              <w:t>能把所有的器材都放在小检查空间内</w:t>
            </w:r>
          </w:p>
        </w:tc>
        <w:tc>
          <w:tcPr>
            <w:tcW w:w="806" w:type="dxa"/>
            <w:vAlign w:val="center"/>
          </w:tcPr>
          <w:p>
            <w:pPr>
              <w:jc w:val="center"/>
              <w:rPr>
                <w:kern w:val="0"/>
                <w:sz w:val="20"/>
              </w:rPr>
            </w:pPr>
            <w:r>
              <w:rPr>
                <w:rFonts w:hint="eastAsia"/>
                <w:kern w:val="0"/>
                <w:sz w:val="20"/>
              </w:rPr>
              <w:t>25</w:t>
            </w: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759" w:type="dxa"/>
            <w:vAlign w:val="center"/>
          </w:tcPr>
          <w:p>
            <w:pPr>
              <w:jc w:val="center"/>
              <w:rPr>
                <w:kern w:val="0"/>
                <w:sz w:val="20"/>
              </w:rPr>
            </w:pPr>
            <w:r>
              <w:rPr>
                <w:rFonts w:hint="eastAsia"/>
                <w:kern w:val="0"/>
                <w:sz w:val="20"/>
              </w:rPr>
              <w:t>M01</w:t>
            </w:r>
          </w:p>
        </w:tc>
        <w:tc>
          <w:tcPr>
            <w:tcW w:w="1530" w:type="dxa"/>
            <w:vAlign w:val="center"/>
          </w:tcPr>
          <w:p>
            <w:pPr>
              <w:jc w:val="center"/>
              <w:rPr>
                <w:kern w:val="0"/>
                <w:sz w:val="20"/>
              </w:rPr>
            </w:pPr>
            <w:r>
              <w:rPr>
                <w:rFonts w:hint="eastAsia"/>
                <w:kern w:val="0"/>
                <w:sz w:val="20"/>
              </w:rPr>
              <w:t>创新项目</w:t>
            </w:r>
          </w:p>
        </w:tc>
        <w:tc>
          <w:tcPr>
            <w:tcW w:w="4219" w:type="dxa"/>
          </w:tcPr>
          <w:p>
            <w:pPr>
              <w:rPr>
                <w:kern w:val="0"/>
                <w:sz w:val="20"/>
              </w:rPr>
            </w:pPr>
            <w:r>
              <w:rPr>
                <w:rFonts w:hint="eastAsia"/>
                <w:kern w:val="0"/>
                <w:sz w:val="20"/>
              </w:rPr>
              <w:t>有一部分接触到乐动新启徽标区或长椅周围的灰色区域</w:t>
            </w:r>
          </w:p>
        </w:tc>
        <w:tc>
          <w:tcPr>
            <w:tcW w:w="806" w:type="dxa"/>
            <w:vAlign w:val="center"/>
          </w:tcPr>
          <w:p>
            <w:pPr>
              <w:jc w:val="center"/>
              <w:rPr>
                <w:kern w:val="0"/>
                <w:sz w:val="20"/>
              </w:rPr>
            </w:pPr>
            <w:r>
              <w:rPr>
                <w:rFonts w:hint="eastAsia"/>
                <w:kern w:val="0"/>
                <w:sz w:val="20"/>
              </w:rPr>
              <w:t>20</w:t>
            </w: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restart"/>
            <w:vAlign w:val="center"/>
          </w:tcPr>
          <w:p>
            <w:pPr>
              <w:jc w:val="center"/>
              <w:rPr>
                <w:kern w:val="0"/>
                <w:sz w:val="20"/>
              </w:rPr>
            </w:pPr>
            <w:r>
              <w:rPr>
                <w:rFonts w:hint="eastAsia"/>
                <w:kern w:val="0"/>
                <w:sz w:val="20"/>
              </w:rPr>
              <w:t>M02</w:t>
            </w:r>
          </w:p>
        </w:tc>
        <w:tc>
          <w:tcPr>
            <w:tcW w:w="1530" w:type="dxa"/>
            <w:vMerge w:val="restart"/>
            <w:vAlign w:val="center"/>
          </w:tcPr>
          <w:p>
            <w:pPr>
              <w:jc w:val="center"/>
              <w:rPr>
                <w:kern w:val="0"/>
                <w:sz w:val="20"/>
              </w:rPr>
            </w:pPr>
            <w:r>
              <w:rPr>
                <w:rFonts w:hint="eastAsia"/>
                <w:kern w:val="0"/>
                <w:sz w:val="20"/>
              </w:rPr>
              <w:t>计步器</w:t>
            </w:r>
          </w:p>
        </w:tc>
        <w:tc>
          <w:tcPr>
            <w:tcW w:w="4219" w:type="dxa"/>
          </w:tcPr>
          <w:p>
            <w:pPr>
              <w:rPr>
                <w:kern w:val="0"/>
                <w:sz w:val="20"/>
              </w:rPr>
            </w:pPr>
            <w:r>
              <w:rPr>
                <w:rFonts w:hint="eastAsia"/>
                <w:kern w:val="0"/>
                <w:sz w:val="20"/>
              </w:rPr>
              <w:t>品红区域</w:t>
            </w:r>
          </w:p>
        </w:tc>
        <w:tc>
          <w:tcPr>
            <w:tcW w:w="806" w:type="dxa"/>
            <w:vAlign w:val="center"/>
          </w:tcPr>
          <w:p>
            <w:pPr>
              <w:jc w:val="center"/>
              <w:rPr>
                <w:kern w:val="0"/>
                <w:sz w:val="20"/>
              </w:rPr>
            </w:pPr>
            <w:r>
              <w:rPr>
                <w:rFonts w:hint="eastAsia"/>
                <w:kern w:val="0"/>
                <w:sz w:val="20"/>
              </w:rPr>
              <w:t>10</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黄色区域</w:t>
            </w:r>
          </w:p>
        </w:tc>
        <w:tc>
          <w:tcPr>
            <w:tcW w:w="806" w:type="dxa"/>
            <w:vAlign w:val="center"/>
          </w:tcPr>
          <w:p>
            <w:pPr>
              <w:jc w:val="center"/>
              <w:rPr>
                <w:kern w:val="0"/>
                <w:sz w:val="20"/>
              </w:rPr>
            </w:pPr>
            <w:r>
              <w:rPr>
                <w:rFonts w:hint="eastAsia"/>
                <w:kern w:val="0"/>
                <w:sz w:val="20"/>
              </w:rPr>
              <w:t>15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蓝色区域</w:t>
            </w:r>
          </w:p>
        </w:tc>
        <w:tc>
          <w:tcPr>
            <w:tcW w:w="806" w:type="dxa"/>
            <w:vAlign w:val="center"/>
          </w:tcPr>
          <w:p>
            <w:pPr>
              <w:jc w:val="center"/>
              <w:rPr>
                <w:kern w:val="0"/>
                <w:sz w:val="20"/>
              </w:rPr>
            </w:pPr>
            <w:r>
              <w:rPr>
                <w:rFonts w:hint="eastAsia"/>
                <w:kern w:val="0"/>
                <w:sz w:val="20"/>
              </w:rPr>
              <w:t>20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59" w:type="dxa"/>
            <w:vMerge w:val="restart"/>
            <w:vAlign w:val="center"/>
          </w:tcPr>
          <w:p>
            <w:pPr>
              <w:jc w:val="center"/>
              <w:rPr>
                <w:kern w:val="0"/>
                <w:sz w:val="20"/>
              </w:rPr>
            </w:pPr>
            <w:r>
              <w:rPr>
                <w:rFonts w:hint="eastAsia"/>
                <w:kern w:val="0"/>
                <w:sz w:val="20"/>
              </w:rPr>
              <w:t>M03</w:t>
            </w:r>
          </w:p>
        </w:tc>
        <w:tc>
          <w:tcPr>
            <w:tcW w:w="1530" w:type="dxa"/>
            <w:vMerge w:val="restart"/>
            <w:vAlign w:val="center"/>
          </w:tcPr>
          <w:p>
            <w:pPr>
              <w:jc w:val="center"/>
              <w:rPr>
                <w:kern w:val="0"/>
                <w:sz w:val="20"/>
              </w:rPr>
            </w:pPr>
            <w:r>
              <w:rPr>
                <w:rFonts w:hint="eastAsia"/>
                <w:kern w:val="0"/>
                <w:sz w:val="20"/>
              </w:rPr>
              <w:t>滑梯</w:t>
            </w:r>
          </w:p>
        </w:tc>
        <w:tc>
          <w:tcPr>
            <w:tcW w:w="4219" w:type="dxa"/>
          </w:tcPr>
          <w:p>
            <w:pPr>
              <w:rPr>
                <w:kern w:val="0"/>
                <w:sz w:val="20"/>
              </w:rPr>
            </w:pPr>
            <w:r>
              <w:rPr>
                <w:rFonts w:hint="eastAsia"/>
                <w:kern w:val="0"/>
                <w:sz w:val="20"/>
              </w:rPr>
              <w:t>只有一个人仔滑下滑梯</w:t>
            </w:r>
          </w:p>
        </w:tc>
        <w:tc>
          <w:tcPr>
            <w:tcW w:w="806" w:type="dxa"/>
            <w:vAlign w:val="center"/>
          </w:tcPr>
          <w:p>
            <w:pPr>
              <w:jc w:val="center"/>
              <w:rPr>
                <w:kern w:val="0"/>
                <w:sz w:val="20"/>
              </w:rPr>
            </w:pPr>
            <w:r>
              <w:rPr>
                <w:rFonts w:hint="eastAsia"/>
                <w:kern w:val="0"/>
                <w:sz w:val="20"/>
              </w:rPr>
              <w:t>5</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或两个人仔都滑下滑梯</w:t>
            </w:r>
          </w:p>
        </w:tc>
        <w:tc>
          <w:tcPr>
            <w:tcW w:w="806" w:type="dxa"/>
            <w:vAlign w:val="center"/>
          </w:tcPr>
          <w:p>
            <w:pPr>
              <w:jc w:val="center"/>
              <w:rPr>
                <w:kern w:val="0"/>
                <w:sz w:val="20"/>
              </w:rPr>
            </w:pPr>
            <w:r>
              <w:rPr>
                <w:rFonts w:hint="eastAsia"/>
                <w:kern w:val="0"/>
                <w:sz w:val="20"/>
              </w:rPr>
              <w:t>20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或人仔完全位于返回区</w:t>
            </w:r>
          </w:p>
        </w:tc>
        <w:tc>
          <w:tcPr>
            <w:tcW w:w="806" w:type="dxa"/>
            <w:vAlign w:val="center"/>
          </w:tcPr>
          <w:p>
            <w:pPr>
              <w:jc w:val="center"/>
              <w:rPr>
                <w:kern w:val="0"/>
                <w:sz w:val="20"/>
              </w:rPr>
            </w:pPr>
            <w:r>
              <w:rPr>
                <w:rFonts w:hint="eastAsia"/>
                <w:kern w:val="0"/>
                <w:sz w:val="20"/>
              </w:rPr>
              <w:t>10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或人仔完全脱离场地膜并由重型轮胎支撑</w:t>
            </w:r>
          </w:p>
        </w:tc>
        <w:tc>
          <w:tcPr>
            <w:tcW w:w="806" w:type="dxa"/>
            <w:vAlign w:val="center"/>
          </w:tcPr>
          <w:p>
            <w:pPr>
              <w:jc w:val="center"/>
              <w:rPr>
                <w:kern w:val="0"/>
                <w:sz w:val="20"/>
              </w:rPr>
            </w:pPr>
            <w:r>
              <w:rPr>
                <w:rFonts w:hint="eastAsia"/>
                <w:kern w:val="0"/>
                <w:sz w:val="20"/>
              </w:rPr>
              <w:t>20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restart"/>
            <w:vAlign w:val="center"/>
          </w:tcPr>
          <w:p>
            <w:pPr>
              <w:jc w:val="center"/>
              <w:rPr>
                <w:kern w:val="0"/>
                <w:sz w:val="20"/>
              </w:rPr>
            </w:pPr>
            <w:r>
              <w:rPr>
                <w:rFonts w:hint="eastAsia"/>
                <w:kern w:val="0"/>
                <w:sz w:val="20"/>
              </w:rPr>
              <w:t>M04</w:t>
            </w:r>
          </w:p>
        </w:tc>
        <w:tc>
          <w:tcPr>
            <w:tcW w:w="1530" w:type="dxa"/>
            <w:vMerge w:val="restart"/>
            <w:vAlign w:val="center"/>
          </w:tcPr>
          <w:p>
            <w:pPr>
              <w:jc w:val="center"/>
              <w:rPr>
                <w:kern w:val="0"/>
                <w:sz w:val="20"/>
              </w:rPr>
            </w:pPr>
            <w:r>
              <w:rPr>
                <w:rFonts w:hint="eastAsia"/>
                <w:kern w:val="0"/>
                <w:sz w:val="20"/>
              </w:rPr>
              <w:t>长椅</w:t>
            </w:r>
          </w:p>
        </w:tc>
        <w:tc>
          <w:tcPr>
            <w:tcW w:w="4219" w:type="dxa"/>
          </w:tcPr>
          <w:p>
            <w:pPr>
              <w:rPr>
                <w:kern w:val="0"/>
                <w:sz w:val="20"/>
              </w:rPr>
            </w:pPr>
            <w:r>
              <w:rPr>
                <w:rFonts w:hint="eastAsia"/>
                <w:kern w:val="0"/>
                <w:sz w:val="20"/>
              </w:rPr>
              <w:t>长椅朝下放平</w:t>
            </w:r>
          </w:p>
        </w:tc>
        <w:tc>
          <w:tcPr>
            <w:tcW w:w="806" w:type="dxa"/>
            <w:vAlign w:val="center"/>
          </w:tcPr>
          <w:p>
            <w:pPr>
              <w:jc w:val="center"/>
              <w:rPr>
                <w:kern w:val="0"/>
                <w:sz w:val="20"/>
              </w:rPr>
            </w:pPr>
            <w:r>
              <w:rPr>
                <w:rFonts w:hint="eastAsia"/>
                <w:kern w:val="0"/>
                <w:sz w:val="20"/>
              </w:rPr>
              <w:t>10</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长椅朝下放平且立方体位于格子区</w:t>
            </w:r>
          </w:p>
        </w:tc>
        <w:tc>
          <w:tcPr>
            <w:tcW w:w="806" w:type="dxa"/>
            <w:vAlign w:val="center"/>
          </w:tcPr>
          <w:p>
            <w:pPr>
              <w:jc w:val="center"/>
              <w:rPr>
                <w:kern w:val="0"/>
                <w:sz w:val="20"/>
              </w:rPr>
            </w:pPr>
            <w:r>
              <w:rPr>
                <w:rFonts w:hint="eastAsia"/>
                <w:kern w:val="0"/>
                <w:sz w:val="20"/>
              </w:rPr>
              <w:t>10/个</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靠背完全从两个孔中脱开</w:t>
            </w:r>
          </w:p>
        </w:tc>
        <w:tc>
          <w:tcPr>
            <w:tcW w:w="806" w:type="dxa"/>
            <w:vAlign w:val="center"/>
          </w:tcPr>
          <w:p>
            <w:pPr>
              <w:jc w:val="center"/>
              <w:rPr>
                <w:kern w:val="0"/>
                <w:sz w:val="20"/>
              </w:rPr>
            </w:pPr>
            <w:r>
              <w:rPr>
                <w:rFonts w:hint="eastAsia"/>
                <w:kern w:val="0"/>
                <w:sz w:val="20"/>
              </w:rPr>
              <w:t>15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restart"/>
            <w:vAlign w:val="center"/>
          </w:tcPr>
          <w:p>
            <w:pPr>
              <w:jc w:val="center"/>
              <w:rPr>
                <w:kern w:val="0"/>
                <w:sz w:val="20"/>
              </w:rPr>
            </w:pPr>
            <w:r>
              <w:rPr>
                <w:rFonts w:hint="eastAsia"/>
                <w:kern w:val="0"/>
                <w:sz w:val="20"/>
              </w:rPr>
              <w:t>M05</w:t>
            </w:r>
          </w:p>
        </w:tc>
        <w:tc>
          <w:tcPr>
            <w:tcW w:w="1530" w:type="dxa"/>
            <w:vMerge w:val="restart"/>
            <w:vAlign w:val="center"/>
          </w:tcPr>
          <w:p>
            <w:pPr>
              <w:jc w:val="center"/>
              <w:rPr>
                <w:kern w:val="0"/>
                <w:sz w:val="20"/>
              </w:rPr>
            </w:pPr>
            <w:r>
              <w:rPr>
                <w:rFonts w:hint="eastAsia"/>
                <w:kern w:val="0"/>
                <w:sz w:val="20"/>
              </w:rPr>
              <w:t>篮球</w:t>
            </w:r>
          </w:p>
        </w:tc>
        <w:tc>
          <w:tcPr>
            <w:tcW w:w="4219" w:type="dxa"/>
          </w:tcPr>
          <w:p>
            <w:pPr>
              <w:rPr>
                <w:kern w:val="0"/>
                <w:sz w:val="20"/>
              </w:rPr>
            </w:pPr>
            <w:r>
              <w:rPr>
                <w:rFonts w:hint="eastAsia"/>
                <w:kern w:val="0"/>
                <w:sz w:val="20"/>
              </w:rPr>
              <w:t>板条箱中有一个立方体</w:t>
            </w:r>
          </w:p>
        </w:tc>
        <w:tc>
          <w:tcPr>
            <w:tcW w:w="806" w:type="dxa"/>
            <w:vAlign w:val="center"/>
          </w:tcPr>
          <w:p>
            <w:pPr>
              <w:jc w:val="center"/>
              <w:rPr>
                <w:kern w:val="0"/>
                <w:sz w:val="20"/>
              </w:rPr>
            </w:pPr>
            <w:r>
              <w:rPr>
                <w:rFonts w:hint="eastAsia"/>
                <w:kern w:val="0"/>
                <w:sz w:val="20"/>
              </w:rPr>
              <w:t>15</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板条箱位于中间白色挡块上</w:t>
            </w:r>
          </w:p>
        </w:tc>
        <w:tc>
          <w:tcPr>
            <w:tcW w:w="806" w:type="dxa"/>
            <w:vAlign w:val="center"/>
          </w:tcPr>
          <w:p>
            <w:pPr>
              <w:jc w:val="center"/>
              <w:rPr>
                <w:kern w:val="0"/>
                <w:sz w:val="20"/>
              </w:rPr>
            </w:pPr>
            <w:r>
              <w:rPr>
                <w:rFonts w:hint="eastAsia"/>
                <w:kern w:val="0"/>
                <w:sz w:val="20"/>
              </w:rPr>
              <w:t>15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板条箱位于顶部白色挡块上</w:t>
            </w:r>
          </w:p>
        </w:tc>
        <w:tc>
          <w:tcPr>
            <w:tcW w:w="806" w:type="dxa"/>
            <w:vAlign w:val="center"/>
          </w:tcPr>
          <w:p>
            <w:pPr>
              <w:jc w:val="center"/>
              <w:rPr>
                <w:kern w:val="0"/>
                <w:sz w:val="20"/>
              </w:rPr>
            </w:pPr>
            <w:r>
              <w:rPr>
                <w:rFonts w:hint="eastAsia"/>
                <w:kern w:val="0"/>
                <w:sz w:val="20"/>
              </w:rPr>
              <w:t>25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9" w:type="dxa"/>
            <w:vMerge w:val="restart"/>
            <w:vAlign w:val="center"/>
          </w:tcPr>
          <w:p>
            <w:pPr>
              <w:jc w:val="center"/>
              <w:rPr>
                <w:kern w:val="0"/>
                <w:sz w:val="20"/>
              </w:rPr>
            </w:pPr>
            <w:r>
              <w:rPr>
                <w:rFonts w:hint="eastAsia"/>
                <w:kern w:val="0"/>
                <w:sz w:val="20"/>
              </w:rPr>
              <w:t>M06</w:t>
            </w:r>
          </w:p>
        </w:tc>
        <w:tc>
          <w:tcPr>
            <w:tcW w:w="1530" w:type="dxa"/>
            <w:vMerge w:val="restart"/>
            <w:vAlign w:val="center"/>
          </w:tcPr>
          <w:p>
            <w:pPr>
              <w:jc w:val="center"/>
              <w:rPr>
                <w:kern w:val="0"/>
                <w:sz w:val="20"/>
              </w:rPr>
            </w:pPr>
            <w:r>
              <w:rPr>
                <w:rFonts w:hint="eastAsia"/>
                <w:kern w:val="0"/>
                <w:sz w:val="20"/>
              </w:rPr>
              <w:t>引体向上</w:t>
            </w:r>
          </w:p>
        </w:tc>
        <w:tc>
          <w:tcPr>
            <w:tcW w:w="4219" w:type="dxa"/>
          </w:tcPr>
          <w:p>
            <w:pPr>
              <w:rPr>
                <w:kern w:val="0"/>
                <w:sz w:val="20"/>
              </w:rPr>
            </w:pPr>
            <w:r>
              <w:rPr>
                <w:rFonts w:hint="eastAsia"/>
                <w:kern w:val="0"/>
                <w:sz w:val="20"/>
              </w:rPr>
              <w:t>机器人能完全穿过直立框架</w:t>
            </w:r>
          </w:p>
        </w:tc>
        <w:tc>
          <w:tcPr>
            <w:tcW w:w="806" w:type="dxa"/>
            <w:vAlign w:val="center"/>
          </w:tcPr>
          <w:p>
            <w:pPr>
              <w:jc w:val="center"/>
              <w:rPr>
                <w:kern w:val="0"/>
                <w:sz w:val="20"/>
              </w:rPr>
            </w:pPr>
            <w:r>
              <w:rPr>
                <w:rFonts w:hint="eastAsia"/>
                <w:kern w:val="0"/>
                <w:sz w:val="20"/>
              </w:rPr>
              <w:t>15</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比赛结束时，机器人完全抓在框架上</w:t>
            </w:r>
          </w:p>
        </w:tc>
        <w:tc>
          <w:tcPr>
            <w:tcW w:w="806" w:type="dxa"/>
            <w:vAlign w:val="center"/>
          </w:tcPr>
          <w:p>
            <w:pPr>
              <w:jc w:val="center"/>
              <w:rPr>
                <w:kern w:val="0"/>
                <w:sz w:val="20"/>
              </w:rPr>
            </w:pPr>
            <w:r>
              <w:rPr>
                <w:rFonts w:hint="eastAsia"/>
                <w:kern w:val="0"/>
                <w:sz w:val="20"/>
              </w:rPr>
              <w:t>30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pPr>
              <w:jc w:val="center"/>
              <w:rPr>
                <w:kern w:val="0"/>
                <w:sz w:val="20"/>
              </w:rPr>
            </w:pPr>
            <w:r>
              <w:rPr>
                <w:rFonts w:hint="eastAsia"/>
                <w:kern w:val="0"/>
                <w:sz w:val="20"/>
              </w:rPr>
              <w:t>M07</w:t>
            </w:r>
          </w:p>
        </w:tc>
        <w:tc>
          <w:tcPr>
            <w:tcW w:w="1530" w:type="dxa"/>
            <w:vAlign w:val="center"/>
          </w:tcPr>
          <w:p>
            <w:pPr>
              <w:jc w:val="center"/>
              <w:rPr>
                <w:kern w:val="0"/>
                <w:sz w:val="20"/>
              </w:rPr>
            </w:pPr>
            <w:r>
              <w:rPr>
                <w:rFonts w:hint="eastAsia"/>
                <w:kern w:val="0"/>
                <w:sz w:val="20"/>
              </w:rPr>
              <w:t>机器人舞蹈</w:t>
            </w:r>
          </w:p>
        </w:tc>
        <w:tc>
          <w:tcPr>
            <w:tcW w:w="4219" w:type="dxa"/>
          </w:tcPr>
          <w:p>
            <w:pPr>
              <w:rPr>
                <w:kern w:val="0"/>
                <w:sz w:val="20"/>
              </w:rPr>
            </w:pPr>
            <w:r>
              <w:rPr>
                <w:rFonts w:hint="eastAsia"/>
                <w:kern w:val="0"/>
                <w:sz w:val="20"/>
              </w:rPr>
              <w:t>控制器部分或全部位于舞池并做出舞蹈动作</w:t>
            </w:r>
          </w:p>
        </w:tc>
        <w:tc>
          <w:tcPr>
            <w:tcW w:w="806" w:type="dxa"/>
            <w:vAlign w:val="center"/>
          </w:tcPr>
          <w:p>
            <w:pPr>
              <w:jc w:val="center"/>
              <w:rPr>
                <w:kern w:val="0"/>
                <w:sz w:val="20"/>
              </w:rPr>
            </w:pPr>
            <w:r>
              <w:rPr>
                <w:rFonts w:hint="eastAsia"/>
                <w:kern w:val="0"/>
                <w:sz w:val="20"/>
              </w:rPr>
              <w:t>20</w:t>
            </w: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restart"/>
            <w:vAlign w:val="center"/>
          </w:tcPr>
          <w:p>
            <w:pPr>
              <w:jc w:val="center"/>
              <w:rPr>
                <w:kern w:val="0"/>
                <w:sz w:val="20"/>
              </w:rPr>
            </w:pPr>
            <w:r>
              <w:rPr>
                <w:rFonts w:hint="eastAsia"/>
                <w:kern w:val="0"/>
                <w:sz w:val="20"/>
              </w:rPr>
              <w:t>M08</w:t>
            </w:r>
          </w:p>
        </w:tc>
        <w:tc>
          <w:tcPr>
            <w:tcW w:w="1530" w:type="dxa"/>
            <w:vMerge w:val="restart"/>
            <w:vAlign w:val="center"/>
          </w:tcPr>
          <w:p>
            <w:pPr>
              <w:jc w:val="center"/>
              <w:rPr>
                <w:kern w:val="0"/>
                <w:sz w:val="20"/>
              </w:rPr>
            </w:pPr>
            <w:r>
              <w:rPr>
                <w:rFonts w:hint="eastAsia"/>
                <w:kern w:val="0"/>
                <w:sz w:val="20"/>
              </w:rPr>
              <w:t>硬地滚球</w:t>
            </w:r>
          </w:p>
        </w:tc>
        <w:tc>
          <w:tcPr>
            <w:tcW w:w="4219" w:type="dxa"/>
          </w:tcPr>
          <w:p>
            <w:pPr>
              <w:rPr>
                <w:kern w:val="0"/>
                <w:sz w:val="20"/>
              </w:rPr>
            </w:pPr>
            <w:r>
              <w:rPr>
                <w:rFonts w:hint="eastAsia"/>
                <w:kern w:val="0"/>
                <w:sz w:val="20"/>
              </w:rPr>
              <w:t>将一个立方体送至对方场地并匹配</w:t>
            </w:r>
          </w:p>
        </w:tc>
        <w:tc>
          <w:tcPr>
            <w:tcW w:w="806" w:type="dxa"/>
            <w:vAlign w:val="center"/>
          </w:tcPr>
          <w:p>
            <w:pPr>
              <w:jc w:val="center"/>
              <w:rPr>
                <w:kern w:val="0"/>
                <w:sz w:val="20"/>
              </w:rPr>
            </w:pPr>
            <w:r>
              <w:rPr>
                <w:rFonts w:hint="eastAsia"/>
                <w:kern w:val="0"/>
                <w:sz w:val="20"/>
              </w:rPr>
              <w:t>25/队</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立方体完全位于框架或目标中</w:t>
            </w:r>
          </w:p>
        </w:tc>
        <w:tc>
          <w:tcPr>
            <w:tcW w:w="806" w:type="dxa"/>
            <w:vAlign w:val="center"/>
          </w:tcPr>
          <w:p>
            <w:pPr>
              <w:jc w:val="center"/>
              <w:rPr>
                <w:kern w:val="0"/>
                <w:sz w:val="20"/>
              </w:rPr>
            </w:pPr>
            <w:r>
              <w:rPr>
                <w:rFonts w:hint="eastAsia"/>
                <w:kern w:val="0"/>
                <w:sz w:val="20"/>
              </w:rPr>
              <w:t>5/个</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至少有一个立方体完全位于目标中</w:t>
            </w:r>
          </w:p>
        </w:tc>
        <w:tc>
          <w:tcPr>
            <w:tcW w:w="806" w:type="dxa"/>
            <w:vAlign w:val="center"/>
          </w:tcPr>
          <w:p>
            <w:pPr>
              <w:jc w:val="center"/>
              <w:rPr>
                <w:kern w:val="0"/>
                <w:sz w:val="20"/>
              </w:rPr>
            </w:pPr>
            <w:r>
              <w:rPr>
                <w:rFonts w:hint="eastAsia"/>
                <w:kern w:val="0"/>
                <w:sz w:val="20"/>
              </w:rPr>
              <w:t>10</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restart"/>
            <w:vAlign w:val="center"/>
          </w:tcPr>
          <w:p>
            <w:pPr>
              <w:jc w:val="center"/>
              <w:rPr>
                <w:kern w:val="0"/>
                <w:sz w:val="20"/>
              </w:rPr>
            </w:pPr>
            <w:r>
              <w:rPr>
                <w:rFonts w:hint="eastAsia"/>
                <w:kern w:val="0"/>
                <w:sz w:val="20"/>
              </w:rPr>
              <w:t>M09</w:t>
            </w:r>
          </w:p>
        </w:tc>
        <w:tc>
          <w:tcPr>
            <w:tcW w:w="1530" w:type="dxa"/>
            <w:vMerge w:val="restart"/>
            <w:vAlign w:val="center"/>
          </w:tcPr>
          <w:p>
            <w:pPr>
              <w:jc w:val="center"/>
              <w:rPr>
                <w:kern w:val="0"/>
                <w:sz w:val="20"/>
              </w:rPr>
            </w:pPr>
            <w:r>
              <w:rPr>
                <w:rFonts w:hint="eastAsia"/>
                <w:kern w:val="0"/>
                <w:sz w:val="20"/>
              </w:rPr>
              <w:t>轮胎翻转</w:t>
            </w:r>
          </w:p>
        </w:tc>
        <w:tc>
          <w:tcPr>
            <w:tcW w:w="4219" w:type="dxa"/>
          </w:tcPr>
          <w:p>
            <w:pPr>
              <w:rPr>
                <w:kern w:val="0"/>
                <w:sz w:val="20"/>
              </w:rPr>
            </w:pPr>
            <w:r>
              <w:rPr>
                <w:rFonts w:hint="eastAsia"/>
                <w:kern w:val="0"/>
                <w:sz w:val="20"/>
              </w:rPr>
              <w:t>轻型（蓝色胎面）轮胎的白色中心朝上</w:t>
            </w:r>
          </w:p>
        </w:tc>
        <w:tc>
          <w:tcPr>
            <w:tcW w:w="806" w:type="dxa"/>
            <w:vAlign w:val="center"/>
          </w:tcPr>
          <w:p>
            <w:pPr>
              <w:jc w:val="center"/>
              <w:rPr>
                <w:kern w:val="0"/>
                <w:sz w:val="20"/>
              </w:rPr>
            </w:pPr>
            <w:r>
              <w:rPr>
                <w:rFonts w:hint="eastAsia"/>
                <w:kern w:val="0"/>
                <w:sz w:val="20"/>
              </w:rPr>
              <w:t>10</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重型（黑色胎面）轮胎的白色中心朝上</w:t>
            </w:r>
          </w:p>
        </w:tc>
        <w:tc>
          <w:tcPr>
            <w:tcW w:w="806" w:type="dxa"/>
            <w:vAlign w:val="center"/>
          </w:tcPr>
          <w:p>
            <w:pPr>
              <w:jc w:val="center"/>
              <w:rPr>
                <w:kern w:val="0"/>
                <w:sz w:val="20"/>
              </w:rPr>
            </w:pPr>
            <w:r>
              <w:rPr>
                <w:rFonts w:hint="eastAsia"/>
                <w:kern w:val="0"/>
                <w:sz w:val="20"/>
              </w:rPr>
              <w:t>15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完全位于大目标圈内</w:t>
            </w:r>
          </w:p>
        </w:tc>
        <w:tc>
          <w:tcPr>
            <w:tcW w:w="806" w:type="dxa"/>
            <w:vAlign w:val="center"/>
          </w:tcPr>
          <w:p>
            <w:pPr>
              <w:jc w:val="center"/>
              <w:rPr>
                <w:kern w:val="0"/>
                <w:sz w:val="20"/>
              </w:rPr>
            </w:pPr>
            <w:r>
              <w:rPr>
                <w:rFonts w:hint="eastAsia"/>
                <w:kern w:val="0"/>
                <w:sz w:val="20"/>
              </w:rPr>
              <w:t>5/个</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pPr>
              <w:jc w:val="center"/>
              <w:rPr>
                <w:kern w:val="0"/>
                <w:sz w:val="20"/>
              </w:rPr>
            </w:pPr>
            <w:r>
              <w:rPr>
                <w:rFonts w:hint="eastAsia"/>
                <w:kern w:val="0"/>
                <w:sz w:val="20"/>
              </w:rPr>
              <w:t>M10</w:t>
            </w:r>
          </w:p>
        </w:tc>
        <w:tc>
          <w:tcPr>
            <w:tcW w:w="1530" w:type="dxa"/>
            <w:vAlign w:val="center"/>
          </w:tcPr>
          <w:p>
            <w:pPr>
              <w:jc w:val="center"/>
              <w:rPr>
                <w:kern w:val="0"/>
                <w:sz w:val="20"/>
              </w:rPr>
            </w:pPr>
            <w:r>
              <w:rPr>
                <w:rFonts w:hint="eastAsia"/>
                <w:kern w:val="0"/>
                <w:sz w:val="20"/>
              </w:rPr>
              <w:t>手机</w:t>
            </w:r>
          </w:p>
        </w:tc>
        <w:tc>
          <w:tcPr>
            <w:tcW w:w="4219" w:type="dxa"/>
          </w:tcPr>
          <w:p>
            <w:pPr>
              <w:rPr>
                <w:kern w:val="0"/>
                <w:sz w:val="20"/>
              </w:rPr>
            </w:pPr>
            <w:r>
              <w:rPr>
                <w:rFonts w:hint="eastAsia"/>
                <w:kern w:val="0"/>
                <w:sz w:val="20"/>
              </w:rPr>
              <w:t>手机白色一面朝上且完全位于场地膜上</w:t>
            </w:r>
          </w:p>
        </w:tc>
        <w:tc>
          <w:tcPr>
            <w:tcW w:w="806" w:type="dxa"/>
            <w:vAlign w:val="center"/>
          </w:tcPr>
          <w:p>
            <w:pPr>
              <w:jc w:val="center"/>
              <w:rPr>
                <w:kern w:val="0"/>
                <w:sz w:val="20"/>
              </w:rPr>
            </w:pPr>
            <w:r>
              <w:rPr>
                <w:rFonts w:hint="eastAsia"/>
                <w:kern w:val="0"/>
                <w:sz w:val="20"/>
              </w:rPr>
              <w:t>15</w:t>
            </w: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pPr>
              <w:jc w:val="center"/>
              <w:rPr>
                <w:kern w:val="0"/>
                <w:sz w:val="20"/>
              </w:rPr>
            </w:pPr>
            <w:r>
              <w:rPr>
                <w:rFonts w:hint="eastAsia"/>
                <w:kern w:val="0"/>
                <w:sz w:val="20"/>
              </w:rPr>
              <w:t>M11</w:t>
            </w:r>
          </w:p>
        </w:tc>
        <w:tc>
          <w:tcPr>
            <w:tcW w:w="1530" w:type="dxa"/>
            <w:vAlign w:val="center"/>
          </w:tcPr>
          <w:p>
            <w:pPr>
              <w:jc w:val="center"/>
              <w:rPr>
                <w:kern w:val="0"/>
                <w:sz w:val="20"/>
              </w:rPr>
            </w:pPr>
            <w:r>
              <w:rPr>
                <w:rFonts w:hint="eastAsia"/>
                <w:kern w:val="0"/>
                <w:sz w:val="20"/>
              </w:rPr>
              <w:t>跑步机</w:t>
            </w:r>
          </w:p>
        </w:tc>
        <w:tc>
          <w:tcPr>
            <w:tcW w:w="4219" w:type="dxa"/>
          </w:tcPr>
          <w:p>
            <w:pPr>
              <w:rPr>
                <w:kern w:val="0"/>
                <w:sz w:val="20"/>
              </w:rPr>
            </w:pPr>
            <w:r>
              <w:rPr>
                <w:rFonts w:hint="eastAsia"/>
                <w:kern w:val="0"/>
                <w:sz w:val="20"/>
              </w:rPr>
              <w:t>灰色：5分；红色：10分；橙色：15分；</w:t>
            </w:r>
          </w:p>
          <w:p>
            <w:pPr>
              <w:rPr>
                <w:kern w:val="0"/>
                <w:sz w:val="20"/>
              </w:rPr>
            </w:pPr>
            <w:r>
              <w:rPr>
                <w:rFonts w:hint="eastAsia"/>
                <w:kern w:val="0"/>
                <w:sz w:val="20"/>
              </w:rPr>
              <w:t>黄色：20分；浅绿色：25分；深绿色30分</w:t>
            </w:r>
          </w:p>
        </w:tc>
        <w:tc>
          <w:tcPr>
            <w:tcW w:w="806" w:type="dxa"/>
            <w:vAlign w:val="center"/>
          </w:tcPr>
          <w:p>
            <w:pPr>
              <w:jc w:val="center"/>
              <w:rPr>
                <w:kern w:val="0"/>
                <w:sz w:val="20"/>
              </w:rPr>
            </w:pP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9" w:type="dxa"/>
            <w:vMerge w:val="restart"/>
            <w:vAlign w:val="center"/>
          </w:tcPr>
          <w:p>
            <w:pPr>
              <w:jc w:val="center"/>
              <w:rPr>
                <w:kern w:val="0"/>
                <w:sz w:val="20"/>
              </w:rPr>
            </w:pPr>
            <w:r>
              <w:rPr>
                <w:rFonts w:hint="eastAsia"/>
                <w:kern w:val="0"/>
                <w:sz w:val="20"/>
              </w:rPr>
              <w:t>M12</w:t>
            </w:r>
          </w:p>
        </w:tc>
        <w:tc>
          <w:tcPr>
            <w:tcW w:w="1530" w:type="dxa"/>
            <w:vMerge w:val="restart"/>
            <w:vAlign w:val="center"/>
          </w:tcPr>
          <w:p>
            <w:pPr>
              <w:jc w:val="center"/>
              <w:rPr>
                <w:kern w:val="0"/>
                <w:sz w:val="20"/>
              </w:rPr>
            </w:pPr>
            <w:r>
              <w:rPr>
                <w:rFonts w:hint="eastAsia"/>
                <w:kern w:val="0"/>
                <w:sz w:val="20"/>
              </w:rPr>
              <w:t>划船机</w:t>
            </w:r>
          </w:p>
        </w:tc>
        <w:tc>
          <w:tcPr>
            <w:tcW w:w="4219" w:type="dxa"/>
          </w:tcPr>
          <w:p>
            <w:pPr>
              <w:rPr>
                <w:kern w:val="0"/>
                <w:sz w:val="20"/>
              </w:rPr>
            </w:pPr>
            <w:r>
              <w:rPr>
                <w:rFonts w:hint="eastAsia"/>
                <w:kern w:val="0"/>
                <w:sz w:val="20"/>
              </w:rPr>
              <w:t>飞轮完全位于大圈的外面</w:t>
            </w:r>
          </w:p>
        </w:tc>
        <w:tc>
          <w:tcPr>
            <w:tcW w:w="806" w:type="dxa"/>
            <w:vAlign w:val="center"/>
          </w:tcPr>
          <w:p>
            <w:pPr>
              <w:jc w:val="center"/>
              <w:rPr>
                <w:kern w:val="0"/>
                <w:sz w:val="20"/>
              </w:rPr>
            </w:pPr>
            <w:r>
              <w:rPr>
                <w:rFonts w:hint="eastAsia"/>
                <w:kern w:val="0"/>
                <w:sz w:val="20"/>
              </w:rPr>
              <w:t>15</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飞轮完全位于小圈内</w:t>
            </w:r>
          </w:p>
        </w:tc>
        <w:tc>
          <w:tcPr>
            <w:tcW w:w="806" w:type="dxa"/>
            <w:vAlign w:val="center"/>
          </w:tcPr>
          <w:p>
            <w:pPr>
              <w:jc w:val="center"/>
              <w:rPr>
                <w:kern w:val="0"/>
                <w:sz w:val="20"/>
              </w:rPr>
            </w:pPr>
            <w:r>
              <w:rPr>
                <w:rFonts w:hint="eastAsia"/>
                <w:kern w:val="0"/>
                <w:sz w:val="20"/>
              </w:rPr>
              <w:t>15</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vAlign w:val="center"/>
          </w:tcPr>
          <w:p>
            <w:pPr>
              <w:jc w:val="center"/>
              <w:rPr>
                <w:kern w:val="0"/>
                <w:sz w:val="20"/>
              </w:rPr>
            </w:pPr>
            <w:r>
              <w:rPr>
                <w:rFonts w:hint="eastAsia"/>
                <w:kern w:val="0"/>
                <w:sz w:val="20"/>
              </w:rPr>
              <w:t>M13</w:t>
            </w:r>
          </w:p>
        </w:tc>
        <w:tc>
          <w:tcPr>
            <w:tcW w:w="1530" w:type="dxa"/>
            <w:vAlign w:val="center"/>
          </w:tcPr>
          <w:p>
            <w:pPr>
              <w:jc w:val="center"/>
              <w:rPr>
                <w:kern w:val="0"/>
                <w:sz w:val="20"/>
              </w:rPr>
            </w:pPr>
            <w:r>
              <w:rPr>
                <w:rFonts w:hint="eastAsia"/>
                <w:kern w:val="0"/>
                <w:sz w:val="20"/>
              </w:rPr>
              <w:t>杠杆起重机</w:t>
            </w:r>
          </w:p>
        </w:tc>
        <w:tc>
          <w:tcPr>
            <w:tcW w:w="4219" w:type="dxa"/>
          </w:tcPr>
          <w:p>
            <w:pPr>
              <w:rPr>
                <w:kern w:val="0"/>
                <w:sz w:val="20"/>
              </w:rPr>
            </w:pPr>
            <w:r>
              <w:rPr>
                <w:rFonts w:hint="eastAsia"/>
                <w:kern w:val="0"/>
                <w:sz w:val="20"/>
              </w:rPr>
              <w:t>杠杆背景：蓝色：10分；品红色：15分；</w:t>
            </w:r>
          </w:p>
          <w:p>
            <w:pPr>
              <w:rPr>
                <w:kern w:val="0"/>
                <w:sz w:val="20"/>
              </w:rPr>
            </w:pPr>
            <w:r>
              <w:rPr>
                <w:rFonts w:hint="eastAsia"/>
                <w:kern w:val="0"/>
                <w:sz w:val="20"/>
              </w:rPr>
              <w:t>黄色：20分</w:t>
            </w:r>
          </w:p>
        </w:tc>
        <w:tc>
          <w:tcPr>
            <w:tcW w:w="806" w:type="dxa"/>
            <w:vAlign w:val="center"/>
          </w:tcPr>
          <w:p>
            <w:pPr>
              <w:jc w:val="center"/>
              <w:rPr>
                <w:kern w:val="0"/>
                <w:sz w:val="20"/>
              </w:rPr>
            </w:pP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59" w:type="dxa"/>
            <w:vMerge w:val="restart"/>
            <w:vAlign w:val="center"/>
          </w:tcPr>
          <w:p>
            <w:pPr>
              <w:jc w:val="center"/>
              <w:rPr>
                <w:kern w:val="0"/>
                <w:sz w:val="20"/>
              </w:rPr>
            </w:pPr>
            <w:r>
              <w:rPr>
                <w:rFonts w:hint="eastAsia"/>
                <w:kern w:val="0"/>
                <w:sz w:val="20"/>
              </w:rPr>
              <w:t>M14</w:t>
            </w:r>
          </w:p>
        </w:tc>
        <w:tc>
          <w:tcPr>
            <w:tcW w:w="1530" w:type="dxa"/>
            <w:vMerge w:val="restart"/>
            <w:vAlign w:val="center"/>
          </w:tcPr>
          <w:p>
            <w:pPr>
              <w:jc w:val="center"/>
              <w:rPr>
                <w:kern w:val="0"/>
                <w:sz w:val="20"/>
              </w:rPr>
            </w:pPr>
            <w:r>
              <w:rPr>
                <w:rFonts w:hint="eastAsia"/>
                <w:kern w:val="0"/>
                <w:sz w:val="20"/>
              </w:rPr>
              <w:t>健身装置</w:t>
            </w:r>
          </w:p>
        </w:tc>
        <w:tc>
          <w:tcPr>
            <w:tcW w:w="4219" w:type="dxa"/>
          </w:tcPr>
          <w:p>
            <w:pPr>
              <w:rPr>
                <w:kern w:val="0"/>
                <w:sz w:val="20"/>
              </w:rPr>
            </w:pPr>
            <w:r>
              <w:rPr>
                <w:rFonts w:hint="eastAsia"/>
                <w:kern w:val="0"/>
                <w:sz w:val="20"/>
              </w:rPr>
              <w:t>接触到RePLAY区或长椅周围的灰色区域</w:t>
            </w:r>
          </w:p>
        </w:tc>
        <w:tc>
          <w:tcPr>
            <w:tcW w:w="806" w:type="dxa"/>
            <w:vAlign w:val="center"/>
          </w:tcPr>
          <w:p>
            <w:pPr>
              <w:jc w:val="center"/>
              <w:rPr>
                <w:kern w:val="0"/>
                <w:sz w:val="20"/>
              </w:rPr>
            </w:pPr>
            <w:r>
              <w:rPr>
                <w:rFonts w:hint="eastAsia"/>
                <w:kern w:val="0"/>
                <w:sz w:val="20"/>
              </w:rPr>
              <w:t>5/个</w:t>
            </w:r>
          </w:p>
        </w:tc>
        <w:tc>
          <w:tcPr>
            <w:tcW w:w="1395" w:type="dxa"/>
            <w:vMerge w:val="restart"/>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59" w:type="dxa"/>
            <w:vMerge w:val="continue"/>
            <w:vAlign w:val="center"/>
          </w:tcPr>
          <w:p>
            <w:pPr>
              <w:jc w:val="center"/>
              <w:rPr>
                <w:kern w:val="0"/>
                <w:sz w:val="20"/>
              </w:rPr>
            </w:pPr>
          </w:p>
        </w:tc>
        <w:tc>
          <w:tcPr>
            <w:tcW w:w="1530" w:type="dxa"/>
            <w:vMerge w:val="continue"/>
            <w:vAlign w:val="center"/>
          </w:tcPr>
          <w:p>
            <w:pPr>
              <w:jc w:val="center"/>
              <w:rPr>
                <w:kern w:val="0"/>
                <w:sz w:val="20"/>
              </w:rPr>
            </w:pPr>
          </w:p>
        </w:tc>
        <w:tc>
          <w:tcPr>
            <w:tcW w:w="4219" w:type="dxa"/>
          </w:tcPr>
          <w:p>
            <w:pPr>
              <w:rPr>
                <w:kern w:val="0"/>
                <w:sz w:val="20"/>
              </w:rPr>
            </w:pPr>
            <w:r>
              <w:rPr>
                <w:rFonts w:hint="eastAsia"/>
                <w:kern w:val="0"/>
                <w:sz w:val="20"/>
              </w:rPr>
              <w:t>线圈套在一个引体向上的柱子上</w:t>
            </w:r>
          </w:p>
        </w:tc>
        <w:tc>
          <w:tcPr>
            <w:tcW w:w="806" w:type="dxa"/>
            <w:vAlign w:val="center"/>
          </w:tcPr>
          <w:p>
            <w:pPr>
              <w:jc w:val="center"/>
              <w:rPr>
                <w:kern w:val="0"/>
                <w:sz w:val="20"/>
              </w:rPr>
            </w:pPr>
            <w:r>
              <w:rPr>
                <w:rFonts w:hint="eastAsia"/>
                <w:kern w:val="0"/>
                <w:sz w:val="20"/>
              </w:rPr>
              <w:t>10/个</w:t>
            </w:r>
          </w:p>
        </w:tc>
        <w:tc>
          <w:tcPr>
            <w:tcW w:w="1395" w:type="dxa"/>
            <w:vMerge w:val="continue"/>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59" w:type="dxa"/>
            <w:vAlign w:val="center"/>
          </w:tcPr>
          <w:p>
            <w:pPr>
              <w:jc w:val="center"/>
              <w:rPr>
                <w:kern w:val="0"/>
                <w:sz w:val="20"/>
              </w:rPr>
            </w:pPr>
            <w:r>
              <w:rPr>
                <w:rFonts w:hint="eastAsia"/>
                <w:kern w:val="0"/>
                <w:sz w:val="20"/>
              </w:rPr>
              <w:t>M15</w:t>
            </w:r>
          </w:p>
        </w:tc>
        <w:tc>
          <w:tcPr>
            <w:tcW w:w="1530" w:type="dxa"/>
            <w:vAlign w:val="center"/>
          </w:tcPr>
          <w:p>
            <w:pPr>
              <w:jc w:val="center"/>
              <w:rPr>
                <w:kern w:val="0"/>
                <w:sz w:val="20"/>
              </w:rPr>
            </w:pPr>
            <w:r>
              <w:rPr>
                <w:rFonts w:hint="eastAsia"/>
                <w:kern w:val="0"/>
                <w:sz w:val="20"/>
              </w:rPr>
              <w:t>精确度</w:t>
            </w:r>
          </w:p>
        </w:tc>
        <w:tc>
          <w:tcPr>
            <w:tcW w:w="4219" w:type="dxa"/>
          </w:tcPr>
          <w:p>
            <w:pPr>
              <w:rPr>
                <w:kern w:val="0"/>
                <w:sz w:val="20"/>
              </w:rPr>
            </w:pPr>
            <w:r>
              <w:rPr>
                <w:rFonts w:hint="eastAsia"/>
                <w:kern w:val="0"/>
                <w:sz w:val="20"/>
              </w:rPr>
              <w:t>1个：5分；2个：10分；3个：20分；</w:t>
            </w:r>
          </w:p>
          <w:p>
            <w:pPr>
              <w:rPr>
                <w:kern w:val="0"/>
                <w:sz w:val="20"/>
              </w:rPr>
            </w:pPr>
            <w:r>
              <w:rPr>
                <w:rFonts w:hint="eastAsia"/>
                <w:kern w:val="0"/>
                <w:sz w:val="20"/>
              </w:rPr>
              <w:t>4个：30分；5个：45分；6个：60分</w:t>
            </w:r>
          </w:p>
        </w:tc>
        <w:tc>
          <w:tcPr>
            <w:tcW w:w="806" w:type="dxa"/>
            <w:vAlign w:val="center"/>
          </w:tcPr>
          <w:p>
            <w:pPr>
              <w:jc w:val="center"/>
              <w:rPr>
                <w:kern w:val="0"/>
                <w:sz w:val="20"/>
              </w:rPr>
            </w:pPr>
          </w:p>
        </w:tc>
        <w:tc>
          <w:tcPr>
            <w:tcW w:w="1395" w:type="dxa"/>
          </w:tcPr>
          <w:p>
            <w:pPr>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508" w:type="dxa"/>
            <w:gridSpan w:val="3"/>
          </w:tcPr>
          <w:p>
            <w:pPr>
              <w:jc w:val="center"/>
              <w:rPr>
                <w:kern w:val="0"/>
                <w:sz w:val="20"/>
              </w:rPr>
            </w:pPr>
            <w:r>
              <w:rPr>
                <w:rFonts w:hint="eastAsia"/>
                <w:kern w:val="0"/>
                <w:sz w:val="20"/>
              </w:rPr>
              <w:t>总分</w:t>
            </w:r>
          </w:p>
        </w:tc>
        <w:tc>
          <w:tcPr>
            <w:tcW w:w="2201" w:type="dxa"/>
            <w:gridSpan w:val="2"/>
          </w:tcPr>
          <w:p>
            <w:pPr>
              <w:rPr>
                <w:kern w:val="0"/>
                <w:sz w:val="20"/>
              </w:rPr>
            </w:pPr>
          </w:p>
        </w:tc>
      </w:tr>
    </w:tbl>
    <w:p>
      <w:pPr>
        <w:rPr>
          <w:rFonts w:hint="eastAsia" w:ascii="宋体" w:hAnsi="宋体" w:eastAsia="宋体" w:cs="宋体"/>
          <w:b/>
          <w:bCs/>
          <w:snapToGrid w:val="0"/>
          <w:kern w:val="0"/>
          <w:sz w:val="32"/>
          <w:szCs w:val="32"/>
        </w:rPr>
      </w:pPr>
      <w:r>
        <w:rPr>
          <w:rFonts w:hint="eastAsia"/>
        </w:rPr>
        <w:t>参赛队员签字：</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DEF610-9426-433E-99AF-DDE872BEF9A2}"/>
  </w:font>
  <w:font w:name="Arial">
    <w:panose1 w:val="020B0604020202020204"/>
    <w:charset w:val="01"/>
    <w:family w:val="swiss"/>
    <w:pitch w:val="default"/>
    <w:sig w:usb0="E0002EFF" w:usb1="C000785B" w:usb2="00000009" w:usb3="00000000" w:csb0="400001FF" w:csb1="FFFF0000"/>
    <w:embedRegular r:id="rId2" w:fontKey="{91A69BB4-FD92-4B84-8920-4A91327BDABE}"/>
  </w:font>
  <w:font w:name="黑体">
    <w:panose1 w:val="02010609060101010101"/>
    <w:charset w:val="86"/>
    <w:family w:val="auto"/>
    <w:pitch w:val="default"/>
    <w:sig w:usb0="800002BF" w:usb1="38CF7CFA" w:usb2="00000016" w:usb3="00000000" w:csb0="00040001" w:csb1="00000000"/>
    <w:embedRegular r:id="rId3" w:fontKey="{35416349-4CD5-4B72-AFEE-96727B3ACF84}"/>
  </w:font>
  <w:font w:name="Courier New">
    <w:panose1 w:val="02070309020205020404"/>
    <w:charset w:val="01"/>
    <w:family w:val="modern"/>
    <w:pitch w:val="default"/>
    <w:sig w:usb0="E0002EFF" w:usb1="C0007843" w:usb2="00000009" w:usb3="00000000" w:csb0="400001FF" w:csb1="FFFF0000"/>
    <w:embedRegular r:id="rId4" w:fontKey="{87F5E74B-D6B9-47C2-859D-4A30E38BFF4C}"/>
  </w:font>
  <w:font w:name="Symbol">
    <w:panose1 w:val="05050102010706020507"/>
    <w:charset w:val="02"/>
    <w:family w:val="roman"/>
    <w:pitch w:val="default"/>
    <w:sig w:usb0="00000000" w:usb1="00000000" w:usb2="00000000" w:usb3="00000000" w:csb0="80000000" w:csb1="00000000"/>
    <w:embedRegular r:id="rId5" w:fontKey="{C840CF86-0479-45F2-B68B-01E0FE872EC4}"/>
  </w:font>
  <w:font w:name="Calibri">
    <w:panose1 w:val="020F0502020204030204"/>
    <w:charset w:val="00"/>
    <w:family w:val="swiss"/>
    <w:pitch w:val="default"/>
    <w:sig w:usb0="E4002EFF" w:usb1="C000247B" w:usb2="00000009" w:usb3="00000000" w:csb0="200001FF" w:csb1="00000000"/>
    <w:embedRegular r:id="rId6" w:fontKey="{DE6FC159-37FC-4B49-91B6-4C8C57CB3D64}"/>
  </w:font>
  <w:font w:name="仿宋_GB2312">
    <w:panose1 w:val="02010609030101010101"/>
    <w:charset w:val="86"/>
    <w:family w:val="modern"/>
    <w:pitch w:val="default"/>
    <w:sig w:usb0="00000001" w:usb1="080E0000" w:usb2="00000000" w:usb3="00000000" w:csb0="00040000" w:csb1="00000000"/>
    <w:embedRegular r:id="rId7" w:fontKey="{8A01FBCA-40B7-4DE1-BD1E-12C3B327826F}"/>
  </w:font>
  <w:font w:name="等线">
    <w:panose1 w:val="02010600030101010101"/>
    <w:charset w:val="86"/>
    <w:family w:val="auto"/>
    <w:pitch w:val="default"/>
    <w:sig w:usb0="A00002BF" w:usb1="38CF7CFA" w:usb2="00000016" w:usb3="00000000" w:csb0="0004000F" w:csb1="00000000"/>
    <w:embedRegular r:id="rId8" w:fontKey="{099055C5-36E5-42BD-933C-243E9D77CA73}"/>
  </w:font>
  <w:font w:name="方正小标宋_GBK">
    <w:panose1 w:val="02000000000000000000"/>
    <w:charset w:val="86"/>
    <w:family w:val="auto"/>
    <w:pitch w:val="default"/>
    <w:sig w:usb0="A00002BF" w:usb1="38CF7CFA" w:usb2="00082016" w:usb3="00000000" w:csb0="00040001" w:csb1="00000000"/>
    <w:embedRegular r:id="rId9" w:fontKey="{CA67CDF3-907F-41C2-AEE5-CB76837C8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C9"/>
    <w:rsid w:val="00005164"/>
    <w:rsid w:val="002662AA"/>
    <w:rsid w:val="00471F52"/>
    <w:rsid w:val="00747AD5"/>
    <w:rsid w:val="009844DA"/>
    <w:rsid w:val="00A16AD4"/>
    <w:rsid w:val="00AD4F23"/>
    <w:rsid w:val="00CE77C9"/>
    <w:rsid w:val="00EB6D55"/>
    <w:rsid w:val="00EF7E5E"/>
    <w:rsid w:val="1E5D5857"/>
    <w:rsid w:val="2C327382"/>
    <w:rsid w:val="36E40833"/>
    <w:rsid w:val="443F0327"/>
    <w:rsid w:val="4F261F4F"/>
    <w:rsid w:val="68FF09DD"/>
    <w:rsid w:val="766067F6"/>
    <w:rsid w:val="7BBE7E96"/>
    <w:rsid w:val="7F364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639</Words>
  <Characters>3645</Characters>
  <Lines>30</Lines>
  <Paragraphs>8</Paragraphs>
  <TotalTime>1</TotalTime>
  <ScaleCrop>false</ScaleCrop>
  <LinksUpToDate>false</LinksUpToDate>
  <CharactersWithSpaces>4276</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2021-03-24T15:24:00Z</dcterms:created>
  <dc:creator>王 凯</dc:creator>
  <cp:lastModifiedBy>Yellow-Nils</cp:lastModifiedBy>
  <dcterms:modified xsi:type="dcterms:W3CDTF">2021-03-30T08:58:17Z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428469477_embed</vt:lpwstr>
  </property>
  <property fmtid="{D5CDD505-2E9C-101B-9397-08002B2CF9AE}" pid="3" name="KSOProductBuildVer">
    <vt:lpwstr>2052-11.1.0.10356</vt:lpwstr>
  </property>
  <property fmtid="{D5CDD505-2E9C-101B-9397-08002B2CF9AE}" pid="4" name="ICV">
    <vt:lpwstr>C966E9F81ACF4F9388CC530C10F46A7F</vt:lpwstr>
  </property>
</Properties>
</file>