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_GB2312" w:eastAsia="楷体_GB2312"/>
          <w:sz w:val="72"/>
          <w:szCs w:val="72"/>
        </w:rPr>
      </w:pPr>
    </w:p>
    <w:p>
      <w:pPr>
        <w:spacing w:line="560" w:lineRule="exact"/>
        <w:rPr>
          <w:rFonts w:ascii="楷体_GB2312" w:eastAsia="楷体_GB2312"/>
          <w:sz w:val="72"/>
          <w:szCs w:val="72"/>
          <w:u w:val="single"/>
        </w:rPr>
      </w:pPr>
    </w:p>
    <w:p>
      <w:pPr>
        <w:spacing w:line="500" w:lineRule="exact"/>
        <w:rPr>
          <w:rFonts w:ascii="楷体_GB2312" w:eastAsia="楷体_GB2312"/>
          <w:sz w:val="72"/>
          <w:szCs w:val="72"/>
        </w:rPr>
      </w:pPr>
    </w:p>
    <w:p>
      <w:pPr>
        <w:spacing w:line="1320" w:lineRule="exact"/>
        <w:jc w:val="center"/>
        <w:rPr>
          <w:w w:val="90"/>
          <w:kern w:val="10"/>
          <w:position w:val="-6"/>
          <w:sz w:val="56"/>
          <w:szCs w:val="5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244475</wp:posOffset>
                </wp:positionV>
                <wp:extent cx="904240" cy="5765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76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70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w w:val="90"/>
                                <w:kern w:val="10"/>
                                <w:position w:val="-6"/>
                                <w:sz w:val="56"/>
                                <w:szCs w:val="56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25pt;margin-top:19.25pt;height:45.4pt;width:71.2pt;z-index:251659264;mso-width-relative:page;mso-height-relative:page;" fillcolor="#FFFFFF" filled="t" stroked="f" coordsize="21600,21600" o:gfxdata="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2eEeW2AAA&#10;AAoBAAAPAAAAAAAAAAEAIAAAACIAAABkcnMvZG93bnJldi54bWxQSwECFAAUAAAACACHTuJAsxNm&#10;nx4CAAAaBAAADgAAAAAAAAABACAAAAAnAQAAZHJzL2Uyb0RvYy54bWxQSwUGAAAAAAYABgBZAQAA&#10;twUAAAAA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70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w w:val="90"/>
                          <w:kern w:val="10"/>
                          <w:position w:val="-6"/>
                          <w:sz w:val="56"/>
                          <w:szCs w:val="56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宋体" w:eastAsia="方正小标宋_GBK" w:cs="方正小标宋_GBK"/>
          <w:color w:val="FF0000"/>
          <w:w w:val="95"/>
          <w:kern w:val="10"/>
          <w:position w:val="-6"/>
          <w:sz w:val="84"/>
          <w:szCs w:val="84"/>
        </w:rPr>
        <w:t>贺兰县教育体育</w:t>
      </w:r>
      <w:r>
        <w:rPr>
          <w:rFonts w:hint="eastAsia" w:ascii="方正小标宋_GBK" w:hAnsi="宋体" w:eastAsia="方正小标宋_GBK" w:cs="方正小标宋_GBK"/>
          <w:color w:val="FF0000"/>
          <w:spacing w:val="-100"/>
          <w:w w:val="95"/>
          <w:kern w:val="10"/>
          <w:position w:val="-6"/>
          <w:sz w:val="84"/>
          <w:szCs w:val="84"/>
        </w:rPr>
        <w:t>局</w:t>
      </w:r>
      <w:r>
        <w:rPr>
          <w:rFonts w:hint="eastAsia" w:ascii="方正小标宋_GBK" w:hAnsi="宋体" w:eastAsia="方正小标宋_GBK" w:cs="方正小标宋_GBK"/>
          <w:color w:val="FF0000"/>
          <w:w w:val="95"/>
          <w:kern w:val="10"/>
          <w:position w:val="-6"/>
          <w:sz w:val="84"/>
          <w:szCs w:val="84"/>
        </w:rPr>
        <w:t>（  ）</w:t>
      </w:r>
    </w:p>
    <w:p>
      <w:pPr>
        <w:spacing w:beforeLines="50" w:line="500" w:lineRule="exact"/>
        <w:rPr>
          <w:rFonts w:ascii="黑体" w:eastAsia="黑体"/>
          <w:kern w:val="10"/>
          <w:sz w:val="36"/>
          <w:szCs w:val="36"/>
        </w:rPr>
      </w:pPr>
    </w:p>
    <w:p>
      <w:pPr>
        <w:spacing w:line="460" w:lineRule="exact"/>
        <w:jc w:val="right"/>
        <w:rPr>
          <w:rFonts w:ascii="仿宋_GB2312" w:eastAsia="仿宋_GB2312"/>
          <w:kern w:val="10"/>
          <w:sz w:val="32"/>
          <w:szCs w:val="32"/>
        </w:rPr>
      </w:pPr>
      <w:r>
        <w:rPr>
          <w:rFonts w:hint="eastAsia" w:ascii="仿宋_GB2312" w:eastAsia="仿宋_GB2312" w:cs="仿宋_GB2312"/>
          <w:kern w:val="10"/>
          <w:sz w:val="32"/>
          <w:szCs w:val="32"/>
        </w:rPr>
        <w:t>贺教通发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〔</w:t>
      </w:r>
      <w:r>
        <w:rPr>
          <w:rFonts w:ascii="仿宋_GB2312" w:eastAsia="仿宋_GB2312" w:cs="仿宋_GB2312"/>
          <w:kern w:val="10"/>
          <w:sz w:val="32"/>
          <w:szCs w:val="32"/>
        </w:rPr>
        <w:t>20</w:t>
      </w:r>
      <w:r>
        <w:rPr>
          <w:rFonts w:hint="eastAsia" w:ascii="仿宋_GB2312" w:eastAsia="仿宋_GB2312" w:cs="仿宋_GB2312"/>
          <w:kern w:val="1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57</w:t>
      </w:r>
      <w:r>
        <w:rPr>
          <w:rFonts w:hint="eastAsia" w:ascii="仿宋_GB2312" w:eastAsia="仿宋_GB2312" w:cs="仿宋_GB2312"/>
          <w:kern w:val="1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20" w:lineRule="exact"/>
        <w:textAlignment w:val="auto"/>
        <w:rPr>
          <w:rFonts w:ascii="仿宋_GB2312"/>
          <w:kern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关于“七五”普法终期验收工作检查的通知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体育中心、各中小学：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贺兰县全面依法治县办公室《关于开展“七五”普法终期验收的实施方案》和教育体育局《关于转发&lt;关于做好迎接自治区“七五”普法调研督查的通知&gt;》的要求，经研究决定，对体育中心、中小学进行“七五”普法终期验收工作进行检查，现将检查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提高认识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871" w:right="1474" w:bottom="1984" w:left="1587" w:header="851" w:footer="1417" w:gutter="0"/>
          <w:pgNumType w:fmt="numberInDash"/>
          <w:cols w:space="0" w:num="1"/>
          <w:rtlGutter w:val="0"/>
          <w:docGrid w:type="lines" w:linePitch="316" w:charSpace="0"/>
        </w:sect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今年是“七五”普法验收年，是各级党委政府重点督查工作，体育中心、各中小学要提高思想认识，深入开展法治宣传教育，扎实推进依法治理和法治创建，弘扬社会主义法治精神，建设社会主义法治文化，推进法治宣传教育与法治实践相结合，健全普法宣传教育机制，推动工作创新，充分发挥法治宣传教育在全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6"/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依法治国中的基础作用，推动全社会树立法治意识。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Style w:val="6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二、检查时间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2020年7月10日—7月20日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Style w:val="6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检查内容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6"/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通过实地查看，查阅资料等方式，对普法基础保障、普法责任落实、普法工作推进、法治文化建设、媒体普法以及普法创新情况进行检查。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各中小学、幼儿园按照教育体育局《关于转发（关于做好迎接自治区“七五”普法调研督查的通知）》中附件2《贺兰县学校“七五”普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检查评分表》建立档案体系，整理2016年以来的普法档案。体育中心、各中小学于2020年7月3日前将“七五”普法自查报告纸质和电子版报送至贺兰县教育体育局701室。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联系人：陈艳荣           联系电话：8064769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instrText xml:space="preserve"> HYPERLINK "mailto:627078463@qq.com.现将《关于\“七五\”普法终期验收的实施方案》转发给你们，请遵照执行。"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627078463@qq.com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7" w:before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附件：《关于开展“七五”普法终期验收的实施方案》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1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285115</wp:posOffset>
            </wp:positionV>
            <wp:extent cx="1515745" cy="1515745"/>
            <wp:effectExtent l="0" t="0" r="8255" b="8255"/>
            <wp:wrapNone/>
            <wp:docPr id="1" name="图片 1" descr="局行政印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局行政印章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贺兰县教育体育局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2020年6月30日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（此件公开发布）</w:t>
      </w:r>
    </w:p>
    <w:sectPr>
      <w:footerReference r:id="rId5" w:type="default"/>
      <w:pgSz w:w="11906" w:h="16838"/>
      <w:pgMar w:top="1871" w:right="1474" w:bottom="1984" w:left="1587" w:header="851" w:footer="1417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光大黑_CNKI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光大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5FF25"/>
    <w:multiLevelType w:val="singleLevel"/>
    <w:tmpl w:val="6745FF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lzGPqmbFYtNtVa8PsL1znz9JYD8=" w:salt="Dgsel9Pr9e43TP34dExI8w==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50B33"/>
    <w:rsid w:val="11F541BF"/>
    <w:rsid w:val="23C452EC"/>
    <w:rsid w:val="24907CC8"/>
    <w:rsid w:val="26A17862"/>
    <w:rsid w:val="43F74FD1"/>
    <w:rsid w:val="474772C6"/>
    <w:rsid w:val="4B9A7AB6"/>
    <w:rsid w:val="51E302AB"/>
    <w:rsid w:val="79C50B33"/>
    <w:rsid w:val="7A363D34"/>
    <w:rsid w:val="7B047D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2020-06-29T09:00:00Z</dcterms:created>
  <dc:creator>许子寒</dc:creator>
  <cp:lastModifiedBy>jytyj</cp:lastModifiedBy>
  <cp:lastPrinted>2020-07-01T09:07:00Z</cp:lastPrinted>
  <dcterms:modified xsi:type="dcterms:W3CDTF">2020-07-01T09:56:34Z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