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行楷简体" w:hAnsi="方正行楷简体" w:eastAsia="方正行楷简体" w:cs="方正行楷简体"/>
          <w:color w:val="FF0000"/>
          <w:w w:val="80"/>
          <w:position w:val="6"/>
          <w:sz w:val="144"/>
          <w:szCs w:val="144"/>
        </w:rPr>
      </w:pPr>
      <w:r>
        <w:rPr>
          <w:rFonts w:hint="eastAsia" w:ascii="方正行楷简体" w:hAnsi="方正行楷简体" w:eastAsia="方正行楷简体" w:cs="方正行楷简体"/>
          <w:color w:val="FF0000"/>
          <w:w w:val="80"/>
          <w:position w:val="6"/>
          <w:sz w:val="144"/>
          <w:szCs w:val="144"/>
        </w:rPr>
        <w:t>教 育 简 报</w:t>
      </w:r>
    </w:p>
    <w:p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[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color w:val="FF0000"/>
          <w:sz w:val="32"/>
          <w:szCs w:val="32"/>
        </w:rPr>
        <w:t>]</w:t>
      </w:r>
      <w:r>
        <w:rPr>
          <w:rFonts w:hint="eastAsia"/>
          <w:color w:val="FF0000"/>
          <w:sz w:val="32"/>
          <w:szCs w:val="32"/>
        </w:rPr>
        <w:t>第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color w:val="FF0000"/>
          <w:sz w:val="32"/>
          <w:szCs w:val="32"/>
        </w:rPr>
        <w:t>期</w:t>
      </w:r>
    </w:p>
    <w:p>
      <w:pPr>
        <w:rPr>
          <w:color w:val="FF0000"/>
        </w:rPr>
      </w:pPr>
      <w:r>
        <w:rPr>
          <w:color w:val="FF0000"/>
        </w:rPr>
        <w:t xml:space="preserve"> </w:t>
      </w:r>
    </w:p>
    <w:p>
      <w:pPr>
        <w:shd w:val="solid" w:color="FFFFFF" w:fill="auto"/>
        <w:autoSpaceDN w:val="0"/>
        <w:spacing w:line="48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333375</wp:posOffset>
                </wp:positionV>
                <wp:extent cx="5424170" cy="0"/>
                <wp:effectExtent l="0" t="9525" r="5080" b="952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41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5.95pt;margin-top:26.25pt;height:0pt;width:427.1pt;mso-position-horizontal-relative:margin;z-index:251659264;mso-width-relative:page;mso-height-relative:page;" filled="f" stroked="t" coordsize="21600,21600" o:gfxdata="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fN/&#10;6dkAAAAJAQAADwAAAAAAAAABACAAAAAiAAAAZHJzL2Rvd25yZXYueG1sUEsBAhQAFAAAAAgAh07i&#10;QAifdRWvAQAAUgMAAA4AAAAAAAAAAQAgAAAAKAEAAGRycy9lMm9Eb2MueG1sUEsFBgAAAAAGAAYA&#10;WQEAAEk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青铜峡市沈闸中心小学</w:t>
      </w:r>
      <w:r>
        <w:rPr>
          <w:rFonts w:ascii="黑体" w:eastAsia="黑体"/>
          <w:sz w:val="32"/>
          <w:szCs w:val="32"/>
        </w:rPr>
        <w:t xml:space="preserve">                 20</w:t>
      </w:r>
      <w:r>
        <w:rPr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03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02</w:t>
      </w:r>
      <w:r>
        <w:rPr>
          <w:rFonts w:hint="eastAsia" w:ascii="黑体" w:eastAsia="黑体"/>
          <w:sz w:val="32"/>
          <w:szCs w:val="32"/>
        </w:rPr>
        <w:t>日</w:t>
      </w:r>
      <w:r>
        <w:rPr>
          <w:sz w:val="32"/>
          <w:szCs w:val="32"/>
        </w:rPr>
        <w:t xml:space="preserve"> </w:t>
      </w:r>
    </w:p>
    <w:p/>
    <w:p>
      <w:pPr>
        <w:jc w:val="center"/>
        <w:rPr>
          <w:rFonts w:hint="eastAsia" w:ascii="方正小标宋简体" w:hAnsi="仿宋" w:eastAsia="方正小标宋简体"/>
          <w:sz w:val="40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sz w:val="40"/>
          <w:szCs w:val="28"/>
          <w:lang w:val="en-US" w:eastAsia="zh-CN"/>
        </w:rPr>
        <w:t>关于对各校新冠肺炎疫情防控暨开学准备</w:t>
      </w:r>
    </w:p>
    <w:p>
      <w:pPr>
        <w:jc w:val="center"/>
        <w:rPr>
          <w:rFonts w:hint="eastAsia" w:ascii="方正小标宋简体" w:hAnsi="仿宋" w:eastAsia="方正小标宋简体"/>
          <w:sz w:val="40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sz w:val="40"/>
          <w:szCs w:val="28"/>
          <w:lang w:val="en-US" w:eastAsia="zh-CN"/>
        </w:rPr>
        <w:t>工作督查情况的通报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3月2日，中心小学校长高天飞、副校长花永红、丁学斌会同峡口镇中心卫生院大夫马立军同志，对各校新冠肺炎疫情防控暨开学准备工作进行的实地督查，现将督查情况通报如下：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值班人员不能坚守岗位。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渠小学值班人员在教学楼办公室值班，不能及时登记和测量来访人员信息和体温；各校值班人员普遍存在对测温枪的使用不规范、不熟练，测温过程中接触被测人员，且对测温枪等设备工具的消毒方式不清楚，存在交叉感染的风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对进出学校的车辆管理不严。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除汉渠小学外，其他学校教职工车辆全部进入校园且没有登记和消毒，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存在风险点。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防疫物资储藏欠分类、规范摆放。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各校普遍对物资使用，尤其是消毒液等有一定危险隐患的物资使用方法还掌握不足，个别学校没有真正做到专人专管专用。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临时隔离室和应急区域设置不合理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。各校均存在启用（临时）隔离室和应急区域流程不清楚，室内设备物资摆放不到位。学校缺乏对应急预案的演练操作，预案形同虚设。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各校校领导和值班人员对本校的物资储备、滞留师生返程、空中课堂等相关数据做不到“一口清”，回答提问时使用“大约”“左右”“好像”“应该”等不确定的用词。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郝渠小学校门口监测点划线随意，线条弯曲，不美观。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1.各校领导和老师要进一步提高思想认识，疫情防控工作是当前最重要的政治任务，有别于其他工作，所有工作必须做到严之又严，细之又细，实之又实，来不得半点马虎。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2.各校要认真落实“三人制”值班要求，带班领导和值班教师要各司其职，坚守岗位，认真规范按要求填写相关表册。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档案建设必须做到“返青”人员“一生一档”“一师一档”（返程证明、返程申请表、近五日体温检测、滞留地健康证明、承诺书、隔离告知单、解除隔离证明），同时按中心小学建档要求，做好其他档案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4.要加强测温枪的使用培训，认真阅读相关仪器设备的说明书，掌握准确的使用方法。建议各校购置暖宝储放测温枪，以确保测温枪正常工作，保证测温数据准确、无误。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5.各校要加强消毒知识培训，除校门口、门房、厕所、办公楼道、办公室等大面积消毒外，还要加强公用物品的表面消毒，如：体温计、测温枪、门把手、开关、鼠标、桌面、键盘、签字笔等。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6.坚决禁止一切社会闲杂车辆进入校园，对特殊原因进入校园的车辆必须消毒并认真登记。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7.加强对防疫物资的安全管理，切实保证消毒液等危险物品不发生安全事故。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8.根据中心卫生院建议，尽快设置临时隔离室和应急区域，清楚使用流程，组织应急演练。汉渠小学校门口检测点设置美观科学，可以参考。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9.进一步熟记相关疫情防控数据，必须做到学校疫情防控物资储备、滞留师生返程、空中课堂开设情况“一口清”。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10.进一步加大疫情防控宣传力度，在适当的位置，如洗手池，门把手、隔离室等位置张贴温馨提示，以便于提醒师生严格规范按要求操作。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365125</wp:posOffset>
            </wp:positionV>
            <wp:extent cx="1438275" cy="1438275"/>
            <wp:effectExtent l="0" t="0" r="9525" b="9525"/>
            <wp:wrapNone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4712970" y="811657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青铜峡市沈闸中心小学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2020年3月2日</w:t>
      </w:r>
    </w:p>
    <w:sectPr>
      <w:type w:val="continuous"/>
      <w:pgSz w:w="11905" w:h="16838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D9803"/>
    <w:multiLevelType w:val="singleLevel"/>
    <w:tmpl w:val="8C8D9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41479F"/>
    <w:multiLevelType w:val="singleLevel"/>
    <w:tmpl w:val="F041479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1F44"/>
    <w:rsid w:val="079B7E77"/>
    <w:rsid w:val="07BF6F1E"/>
    <w:rsid w:val="12A407E5"/>
    <w:rsid w:val="19280828"/>
    <w:rsid w:val="1DEB1F44"/>
    <w:rsid w:val="26CC50BF"/>
    <w:rsid w:val="2A72107C"/>
    <w:rsid w:val="3DDA195C"/>
    <w:rsid w:val="52D10852"/>
    <w:rsid w:val="54124B57"/>
    <w:rsid w:val="54C47B89"/>
    <w:rsid w:val="5ED351ED"/>
    <w:rsid w:val="6A961979"/>
    <w:rsid w:val="6BB96B57"/>
    <w:rsid w:val="7A404F66"/>
    <w:rsid w:val="7DA3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2020-03-02T08:22:00Z</dcterms:created>
  <dc:creator>丁学斌</dc:creator>
  <cp:lastModifiedBy>丁学斌</cp:lastModifiedBy>
  <dcterms:modified xsi:type="dcterms:W3CDTF">2020-04-22T07:29:24Z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