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银川市金凤区良田镇泾龙回民小学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银川市金凤区良田镇泾龙回民小学2020年部门预算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主要工作宗旨为</w:t>
      </w:r>
      <w:r>
        <w:rPr>
          <w:rFonts w:ascii="仿宋" w:hAnsi="仿宋" w:eastAsia="仿宋" w:cs="宋体"/>
          <w:bCs/>
          <w:kern w:val="0"/>
          <w:sz w:val="32"/>
          <w:szCs w:val="32"/>
        </w:rPr>
        <w:t>:</w:t>
      </w:r>
      <w:r>
        <w:rPr>
          <w:rFonts w:hint="eastAsia" w:ascii="仿宋" w:hAnsi="仿宋" w:eastAsia="仿宋" w:cs="宋体"/>
          <w:bCs/>
          <w:kern w:val="0"/>
          <w:sz w:val="32"/>
          <w:szCs w:val="32"/>
        </w:rPr>
        <w:t>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从预算单位构成看，银川市金凤区良田镇泾龙回民小学部门预算包括：银川市金凤区良田镇泾龙回民小学本级预算。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银川市金凤区良田镇泾龙回民小学2020年部门预算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223.05</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223.05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223.05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223.05</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163.15</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163.15</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35.88</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35.88</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9.39</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ascii="宋体" w:hAnsi="宋体" w:cs="Arial"/>
                <w:color w:val="000000"/>
                <w:kern w:val="0"/>
                <w:sz w:val="22"/>
                <w:szCs w:val="22"/>
              </w:rPr>
            </w:pPr>
            <w:r>
              <w:rPr>
                <w:rFonts w:hint="eastAsia" w:ascii="宋体" w:hAnsi="宋体" w:cs="Arial"/>
                <w:color w:val="000000"/>
                <w:kern w:val="0"/>
                <w:sz w:val="22"/>
                <w:szCs w:val="22"/>
              </w:rPr>
              <w:t>9.39</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14.63</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14.63</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223.05</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w:t>
            </w:r>
            <w:r>
              <w:rPr>
                <w:rFonts w:hint="eastAsia" w:ascii="宋体" w:hAnsi="宋体" w:cs="Arial"/>
                <w:color w:val="000000"/>
                <w:kern w:val="0"/>
                <w:sz w:val="22"/>
                <w:szCs w:val="22"/>
              </w:rPr>
              <w:t>223.05</w:t>
            </w:r>
          </w:p>
        </w:tc>
      </w:tr>
    </w:tbl>
    <w:p>
      <w:pPr>
        <w:widowControl/>
        <w:outlineLvl w:val="1"/>
        <w:rPr>
          <w:rFonts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163.15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Arial"/>
                <w:color w:val="000000"/>
                <w:kern w:val="0"/>
                <w:sz w:val="22"/>
                <w:szCs w:val="22"/>
              </w:rPr>
              <w:t>163.15</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163.15</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3.00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3.00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23.49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23.49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23.49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9.39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9.39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9.39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9.39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9.39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9.39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14.63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14.63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rPr>
            </w:pP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合计</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Arial"/>
                <w:color w:val="000000"/>
                <w:kern w:val="0"/>
                <w:sz w:val="22"/>
                <w:szCs w:val="22"/>
              </w:rPr>
              <w:t>223.05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hint="eastAsia" w:ascii="宋体" w:hAnsi="宋体" w:cs="宋体"/>
                <w:color w:val="000000"/>
                <w:kern w:val="0"/>
                <w:sz w:val="20"/>
                <w:szCs w:val="20"/>
              </w:rPr>
            </w:pPr>
            <w:r>
              <w:rPr>
                <w:rFonts w:hint="eastAsia" w:ascii="宋体" w:hAnsi="宋体" w:cs="Arial"/>
                <w:color w:val="000000"/>
                <w:kern w:val="0"/>
                <w:sz w:val="22"/>
                <w:szCs w:val="22"/>
              </w:rPr>
              <w:t>223.05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Arial"/>
                <w:color w:val="000000"/>
                <w:kern w:val="0"/>
                <w:sz w:val="22"/>
                <w:szCs w:val="22"/>
              </w:rPr>
              <w:t>223.05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185.16</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163.15</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151.61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11.54</w:t>
            </w:r>
          </w:p>
        </w:tc>
        <w:tc>
          <w:tcPr>
            <w:tcW w:w="1260" w:type="dxa"/>
            <w:gridSpan w:val="2"/>
            <w:tcBorders>
              <w:bottom w:val="single" w:color="auto" w:sz="4" w:space="0"/>
              <w:right w:val="single" w:color="auto" w:sz="4" w:space="0"/>
            </w:tcBorders>
          </w:tcPr>
          <w:p>
            <w:pPr>
              <w:widowControl/>
              <w:jc w:val="center"/>
              <w:rPr>
                <w:kern w:val="0"/>
                <w:sz w:val="20"/>
                <w:szCs w:val="20"/>
              </w:rPr>
            </w:pPr>
            <w:r>
              <w:rPr>
                <w:rFonts w:hint="eastAsia"/>
                <w:kern w:val="0"/>
                <w:sz w:val="20"/>
                <w:szCs w:val="20"/>
              </w:rPr>
              <w:t>-22.01</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-11.88</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3.00</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3.00</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23.79</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23.49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23.49</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-0.3</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-1.26</w:t>
            </w:r>
          </w:p>
        </w:tc>
      </w:tr>
      <w:tr>
        <w:tblPrEx>
          <w:tblLayout w:type="fixed"/>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0.21</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9.39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9.39</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9.18</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4371.43</w:t>
            </w:r>
          </w:p>
        </w:tc>
      </w:tr>
      <w:tr>
        <w:tblPrEx>
          <w:tblLayout w:type="fixed"/>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9.52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9.39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9.39</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-0.13</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-1.37</w:t>
            </w:r>
          </w:p>
        </w:tc>
      </w:tr>
      <w:tr>
        <w:tblPrEx>
          <w:tblLayout w:type="fixed"/>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14.85</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14.63</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14.63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-0.22</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-1.48</w:t>
            </w: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eastAsia="zh-CN"/>
              </w:rPr>
              <w:t>合计</w:t>
            </w: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val="en-US" w:eastAsia="zh-CN"/>
              </w:rPr>
              <w:t>223.05</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211.51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11.54</w:t>
            </w: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Layout w:type="fixed"/>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211.51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205.08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6.43</w:t>
            </w:r>
          </w:p>
        </w:tc>
      </w:tr>
      <w:tr>
        <w:tblPrEx>
          <w:tblLayout w:type="fixed"/>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202.08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202.08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58.75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58.75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38.03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38.03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24.00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24.00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22.45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22.45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23.49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23.49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1.95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1.95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14.63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14.63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6.43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6.43</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0.3</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0.43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0.43</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0.05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0.9</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3.00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3.00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一般公共预算财政拨款“三公”经费支出</w:t>
      </w:r>
      <w:r>
        <w:rPr>
          <w:rFonts w:hint="eastAsia" w:ascii="黑体" w:hAnsi="宋体" w:eastAsia="黑体"/>
          <w:b/>
          <w:kern w:val="0"/>
          <w:sz w:val="32"/>
          <w:szCs w:val="32"/>
          <w:lang w:eastAsia="zh-CN"/>
        </w:rPr>
        <w:t>。</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bookmarkStart w:id="0" w:name="_GoBack"/>
            <w:bookmarkEnd w:id="0"/>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政府性基金预算财政拨款支出</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223.05</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223.05</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223.05</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223.05</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163.15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163.15</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3.00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3.00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23.49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23.49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9.39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9.39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9.39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9.39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14.63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14.63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Calibri" w:hAnsi="Calibri" w:eastAsia="宋体" w:cs="宋体"/>
                <w:color w:val="000000"/>
                <w:kern w:val="0"/>
                <w:sz w:val="22"/>
                <w:szCs w:val="22"/>
                <w:lang w:eastAsia="zh-CN"/>
              </w:rPr>
            </w:pPr>
            <w:r>
              <w:rPr>
                <w:rFonts w:hint="eastAsia" w:ascii="Calibri" w:hAnsi="Calibri" w:cs="宋体"/>
                <w:color w:val="000000"/>
                <w:kern w:val="0"/>
                <w:sz w:val="22"/>
                <w:szCs w:val="22"/>
                <w:lang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223.05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223.05</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ind w:left="4514" w:hanging="4514" w:hangingChars="1249"/>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银川市金凤区良田镇泾龙回民小学2020年部门预算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银川市金凤区良田镇泾龙回民小学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2020年财政拨款收入预算223.05万元，其中：本年收入223.05万元，包括一般公共预算拨款223.05万元，政府性基金预算拨款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万元。支出预算223.05万元，包括：按政府收支分类功能科目逐项说明。如，</w:t>
      </w:r>
      <w:r>
        <w:rPr>
          <w:rFonts w:hint="eastAsia" w:ascii="仿宋" w:hAnsi="仿宋" w:eastAsia="仿宋" w:cs="宋体"/>
          <w:kern w:val="0"/>
          <w:sz w:val="32"/>
          <w:szCs w:val="32"/>
          <w:lang w:eastAsia="zh-CN"/>
        </w:rPr>
        <w:t>教育</w:t>
      </w:r>
      <w:r>
        <w:rPr>
          <w:rFonts w:hint="eastAsia" w:ascii="仿宋" w:hAnsi="仿宋" w:eastAsia="仿宋" w:cs="宋体"/>
          <w:kern w:val="0"/>
          <w:sz w:val="32"/>
          <w:szCs w:val="32"/>
        </w:rPr>
        <w:t>支出163.15万元、社会保障和就业支出35.88万元、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9.39万元、</w:t>
      </w:r>
      <w:r>
        <w:rPr>
          <w:rFonts w:hint="eastAsia" w:ascii="仿宋" w:hAnsi="仿宋" w:eastAsia="仿宋" w:cs="宋体"/>
          <w:kern w:val="0"/>
          <w:sz w:val="32"/>
          <w:szCs w:val="32"/>
        </w:rPr>
        <w:t>住房保障支出14.63万元。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lang w:eastAsia="zh-CN"/>
        </w:rPr>
        <w:t>银川市金凤区良田镇泾龙回民小学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211.51</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211.51</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21.17</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9.09</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人员经费205.08万元，主要包括：按部门支出经济分类科目分项说明。如，基本工资</w:t>
      </w:r>
      <w:r>
        <w:rPr>
          <w:rFonts w:hint="eastAsia" w:ascii="仿宋" w:hAnsi="仿宋" w:eastAsia="仿宋" w:cs="宋体"/>
          <w:kern w:val="0"/>
          <w:sz w:val="32"/>
          <w:szCs w:val="32"/>
          <w:lang w:eastAsia="zh-CN"/>
        </w:rPr>
        <w:t>：58.75万元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：38.03万元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24万元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：22.45万元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val="en-US" w:eastAsia="zh-CN"/>
        </w:rPr>
        <w:t>23.49万元、职业年金缴费9.39万元、职工基本医疗保险缴费9.39万元、其他社会保障缴费1.95万元、住房公积金：14.63万元、</w:t>
      </w:r>
      <w:r>
        <w:rPr>
          <w:rFonts w:hint="eastAsia" w:ascii="仿宋" w:hAnsi="仿宋" w:eastAsia="仿宋" w:cs="宋体"/>
          <w:kern w:val="0"/>
          <w:sz w:val="32"/>
          <w:szCs w:val="32"/>
        </w:rPr>
        <w:t>退休费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公用经费6.43万元，主要包括：按部门支出经济分类科目分项说明。如，办公费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val="en-US" w:eastAsia="zh-CN"/>
        </w:rPr>
        <w:t>0.3万元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0.43万元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2,25万元</w:t>
      </w:r>
      <w:r>
        <w:rPr>
          <w:rFonts w:hint="eastAsia" w:ascii="仿宋" w:hAnsi="仿宋" w:eastAsia="仿宋" w:cs="宋体"/>
          <w:kern w:val="0"/>
          <w:sz w:val="32"/>
          <w:szCs w:val="32"/>
        </w:rPr>
        <w:t>、福利费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0.05万元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0.9万元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11.54</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11.54</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万元。包括：按政府收支科目类、款、项，用途分项说明。如，</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kern w:val="0"/>
          <w:sz w:val="32"/>
          <w:szCs w:val="32"/>
          <w:lang w:val="en-US" w:eastAsia="zh-CN"/>
        </w:rPr>
        <w:t>11.54</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6.97</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37.65</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val="en-US" w:eastAsia="zh-CN"/>
        </w:rPr>
        <w:t>2019年度预算无学前班教育经费及一次性抚恤金和丧葬费支出</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银川市金凤区良田镇泾龙回民小学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银川市金凤区良田镇泾龙回民小学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银川市金凤区良田镇泾龙回民小学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2020年收入总预算    223.05万元，其中：本年收入223.05万元，上年结转结余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万元；支出总预算223.05万元，其中：本年支出223.05万元，年末结转结余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本年收入包括：财政拨款预算收入223.05万元，占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%；事业支出223.05万元，占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hint="eastAsia"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本级及所属等</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1622</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120.21</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64.98</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204.3</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1622</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120.21</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64.98</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204.3</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银川市金凤区良田镇泾龙回民小学</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（五）其他需说明的事项</w:t>
      </w:r>
      <w:r>
        <w:rPr>
          <w:rFonts w:hint="eastAsia" w:ascii="仿宋" w:hAnsi="仿宋" w:eastAsia="仿宋" w:cs="宋体"/>
          <w:kern w:val="0"/>
          <w:sz w:val="32"/>
          <w:szCs w:val="32"/>
          <w:lang w:eastAsia="zh-CN"/>
        </w:rPr>
        <w:t>：无。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银川市金凤区良田镇泾龙回民小学</w:t>
      </w: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224F6"/>
    <w:rsid w:val="00797C6A"/>
    <w:rsid w:val="007A2546"/>
    <w:rsid w:val="007C4986"/>
    <w:rsid w:val="007E5001"/>
    <w:rsid w:val="00806D8F"/>
    <w:rsid w:val="00887F21"/>
    <w:rsid w:val="008C415B"/>
    <w:rsid w:val="00926C87"/>
    <w:rsid w:val="00955E13"/>
    <w:rsid w:val="009C5522"/>
    <w:rsid w:val="009E44B6"/>
    <w:rsid w:val="009E648E"/>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31A94"/>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799037E"/>
    <w:rsid w:val="08D17665"/>
    <w:rsid w:val="09913515"/>
    <w:rsid w:val="09B10995"/>
    <w:rsid w:val="0A0C0998"/>
    <w:rsid w:val="0AB451E8"/>
    <w:rsid w:val="0BDC4823"/>
    <w:rsid w:val="0CB36C33"/>
    <w:rsid w:val="0D5C44D3"/>
    <w:rsid w:val="0F853949"/>
    <w:rsid w:val="111F5C9F"/>
    <w:rsid w:val="11442581"/>
    <w:rsid w:val="124263F0"/>
    <w:rsid w:val="1260054E"/>
    <w:rsid w:val="1E631F94"/>
    <w:rsid w:val="1F987EA7"/>
    <w:rsid w:val="20E46D7D"/>
    <w:rsid w:val="231D3246"/>
    <w:rsid w:val="23237FD9"/>
    <w:rsid w:val="23A507AB"/>
    <w:rsid w:val="24750923"/>
    <w:rsid w:val="24DE663F"/>
    <w:rsid w:val="27D97111"/>
    <w:rsid w:val="297E2DD7"/>
    <w:rsid w:val="29D930D5"/>
    <w:rsid w:val="2A1E16E5"/>
    <w:rsid w:val="2ABD1C6A"/>
    <w:rsid w:val="2B662A0C"/>
    <w:rsid w:val="2DD80ACD"/>
    <w:rsid w:val="2E403B49"/>
    <w:rsid w:val="2EA770C7"/>
    <w:rsid w:val="2EF0173A"/>
    <w:rsid w:val="2F5743B4"/>
    <w:rsid w:val="31926303"/>
    <w:rsid w:val="320809D3"/>
    <w:rsid w:val="33252112"/>
    <w:rsid w:val="345D6BAD"/>
    <w:rsid w:val="349611EA"/>
    <w:rsid w:val="34C45A1F"/>
    <w:rsid w:val="34E10A9D"/>
    <w:rsid w:val="37C50266"/>
    <w:rsid w:val="390A56B1"/>
    <w:rsid w:val="3C4F029D"/>
    <w:rsid w:val="3C8D1EFE"/>
    <w:rsid w:val="3CE3372A"/>
    <w:rsid w:val="403D5ED9"/>
    <w:rsid w:val="40933896"/>
    <w:rsid w:val="40AF4F2B"/>
    <w:rsid w:val="433C1948"/>
    <w:rsid w:val="48A178B9"/>
    <w:rsid w:val="4E8344A6"/>
    <w:rsid w:val="55DE7FBD"/>
    <w:rsid w:val="55EA130E"/>
    <w:rsid w:val="55ED5486"/>
    <w:rsid w:val="562B49A4"/>
    <w:rsid w:val="564011A4"/>
    <w:rsid w:val="571F7A3E"/>
    <w:rsid w:val="58516E39"/>
    <w:rsid w:val="5910392D"/>
    <w:rsid w:val="5BEA7BA6"/>
    <w:rsid w:val="5F560569"/>
    <w:rsid w:val="5FF9313D"/>
    <w:rsid w:val="61610595"/>
    <w:rsid w:val="682506B8"/>
    <w:rsid w:val="69E548FD"/>
    <w:rsid w:val="6A1B380E"/>
    <w:rsid w:val="6AE12F46"/>
    <w:rsid w:val="6BA96217"/>
    <w:rsid w:val="6CF3373F"/>
    <w:rsid w:val="6EFF42F1"/>
    <w:rsid w:val="6F151638"/>
    <w:rsid w:val="70075758"/>
    <w:rsid w:val="70D6008A"/>
    <w:rsid w:val="71351A68"/>
    <w:rsid w:val="71B26B15"/>
    <w:rsid w:val="72677F40"/>
    <w:rsid w:val="72BF0F2C"/>
    <w:rsid w:val="778F2AB2"/>
    <w:rsid w:val="79F43D43"/>
    <w:rsid w:val="7AAD1824"/>
    <w:rsid w:val="7B0E784A"/>
    <w:rsid w:val="7B4D34CA"/>
    <w:rsid w:val="7C8B15A1"/>
    <w:rsid w:val="7CD9143D"/>
    <w:rsid w:val="7D6F39D0"/>
    <w:rsid w:val="7E5B3870"/>
    <w:rsid w:val="7EA11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1550</Words>
  <Characters>8840</Characters>
  <Lines>73</Lines>
  <Paragraphs>20</Paragraphs>
  <TotalTime>1</TotalTime>
  <ScaleCrop>false</ScaleCrop>
  <LinksUpToDate>false</LinksUpToDate>
  <CharactersWithSpaces>10370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baibiao</cp:lastModifiedBy>
  <cp:lastPrinted>2018-01-19T06:09:00Z</cp:lastPrinted>
  <dcterms:modified xsi:type="dcterms:W3CDTF">2020-02-15T11:24:20Z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