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 xml:space="preserve">     银川市金凤区第十八小学2020年部门预算</w:t>
      </w: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银川市金凤区第十八小学2020年部门预算</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仿宋" w:hAnsi="仿宋" w:eastAsia="仿宋" w:cs="宋体"/>
          <w:bCs/>
          <w:kern w:val="0"/>
          <w:sz w:val="32"/>
          <w:szCs w:val="32"/>
        </w:rPr>
        <w:t xml:space="preserve"> 主要工作宗旨为</w:t>
      </w:r>
      <w:r>
        <w:rPr>
          <w:rFonts w:ascii="仿宋" w:hAnsi="仿宋" w:eastAsia="仿宋" w:cs="宋体"/>
          <w:bCs/>
          <w:kern w:val="0"/>
          <w:sz w:val="32"/>
          <w:szCs w:val="32"/>
        </w:rPr>
        <w:t>:</w:t>
      </w:r>
      <w:r>
        <w:rPr>
          <w:rFonts w:hint="eastAsia" w:ascii="仿宋" w:hAnsi="仿宋" w:eastAsia="仿宋" w:cs="宋体"/>
          <w:bCs/>
          <w:kern w:val="0"/>
          <w:sz w:val="32"/>
          <w:szCs w:val="32"/>
        </w:rPr>
        <w:t>实施小学义务教育，促进基础教育发展。</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 w:hAnsi="仿宋" w:eastAsia="仿宋" w:cs="宋体"/>
          <w:bCs/>
          <w:kern w:val="0"/>
          <w:sz w:val="32"/>
          <w:szCs w:val="32"/>
        </w:rPr>
      </w:pPr>
      <w:r>
        <w:rPr>
          <w:rFonts w:hint="eastAsia" w:ascii="仿宋" w:hAnsi="仿宋" w:eastAsia="仿宋" w:cs="宋体"/>
          <w:bCs/>
          <w:kern w:val="0"/>
          <w:sz w:val="32"/>
          <w:szCs w:val="32"/>
        </w:rPr>
        <w:t>对本部门（单位）及所属预算单位构成进行详细说明。如：</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从预算单位构成看，银川市金凤区第十八小学部门预算包括：银川市金凤区第十八小学本级预算。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银川市金凤区第十八小学2020年部门预算</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132.94</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132.94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132.94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132.94</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110.95</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110.95</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12.73</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12.73</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3.63</w:t>
            </w:r>
          </w:p>
        </w:tc>
        <w:tc>
          <w:tcPr>
            <w:tcW w:w="1360" w:type="dxa"/>
            <w:tcBorders>
              <w:top w:val="nil"/>
              <w:left w:val="nil"/>
              <w:bottom w:val="single" w:color="000000" w:sz="4" w:space="0"/>
              <w:right w:val="single" w:color="000000" w:sz="4" w:space="0"/>
            </w:tcBorders>
            <w:vAlign w:val="center"/>
          </w:tcPr>
          <w:p>
            <w:pPr>
              <w:widowControl/>
              <w:tabs>
                <w:tab w:val="center" w:pos="572"/>
                <w:tab w:val="right" w:pos="1484"/>
              </w:tabs>
              <w:jc w:val="center"/>
              <w:rPr>
                <w:rFonts w:ascii="宋体" w:hAnsi="宋体" w:cs="Arial"/>
                <w:color w:val="000000"/>
                <w:kern w:val="0"/>
                <w:sz w:val="22"/>
                <w:szCs w:val="22"/>
              </w:rPr>
            </w:pPr>
            <w:r>
              <w:rPr>
                <w:rFonts w:hint="eastAsia" w:ascii="宋体" w:hAnsi="宋体" w:cs="Arial"/>
                <w:color w:val="000000"/>
                <w:kern w:val="0"/>
                <w:sz w:val="22"/>
                <w:szCs w:val="22"/>
              </w:rPr>
              <w:t>3.63</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5.63</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5.63</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132.94</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 xml:space="preserve">支出总计       </w:t>
            </w:r>
            <w:r>
              <w:rPr>
                <w:rFonts w:hint="eastAsia" w:ascii="宋体" w:hAnsi="宋体" w:cs="Arial"/>
                <w:color w:val="000000"/>
                <w:kern w:val="0"/>
                <w:sz w:val="22"/>
                <w:szCs w:val="22"/>
              </w:rPr>
              <w:t>132.94</w:t>
            </w:r>
          </w:p>
        </w:tc>
      </w:tr>
    </w:tbl>
    <w:p>
      <w:pPr>
        <w:widowControl/>
        <w:outlineLvl w:val="1"/>
        <w:rPr>
          <w:rFonts w:ascii="黑体" w:hAnsi="宋体" w:eastAsia="黑体"/>
          <w:b/>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707"/>
        <w:gridCol w:w="980"/>
        <w:gridCol w:w="1247"/>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280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9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2050202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小学教育</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Arial"/>
                <w:color w:val="000000"/>
                <w:kern w:val="0"/>
                <w:sz w:val="22"/>
                <w:szCs w:val="22"/>
              </w:rPr>
              <w:t>110.95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Arial"/>
                <w:color w:val="000000"/>
                <w:kern w:val="0"/>
                <w:sz w:val="22"/>
                <w:szCs w:val="22"/>
              </w:rPr>
              <w:t>110.95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Arial"/>
                <w:color w:val="000000"/>
                <w:kern w:val="0"/>
                <w:sz w:val="22"/>
                <w:szCs w:val="22"/>
              </w:rPr>
              <w:t>110.95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事业单位离退休</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2080505</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机关事业单位基本养老保险缴费支出</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2080506</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机关事业单位职业年金缴费支出</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2101102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事业单位医疗</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2210201</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合计</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Arial"/>
                <w:color w:val="000000"/>
                <w:kern w:val="0"/>
                <w:sz w:val="22"/>
                <w:szCs w:val="22"/>
              </w:rPr>
              <w:t>132.94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Arial"/>
                <w:color w:val="000000"/>
                <w:kern w:val="0"/>
                <w:sz w:val="22"/>
                <w:szCs w:val="22"/>
              </w:rPr>
              <w:t>132.94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Arial"/>
                <w:color w:val="000000"/>
                <w:kern w:val="0"/>
                <w:sz w:val="22"/>
                <w:szCs w:val="22"/>
              </w:rPr>
              <w:t>132.94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Pr>
        <w:widowControl/>
        <w:ind w:firstLine="960" w:firstLineChars="3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2050202</w:t>
            </w:r>
          </w:p>
        </w:tc>
        <w:tc>
          <w:tcPr>
            <w:tcW w:w="1980"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小学教育</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154.45</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110.95</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97.66</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13.29</w:t>
            </w:r>
          </w:p>
        </w:tc>
        <w:tc>
          <w:tcPr>
            <w:tcW w:w="1260" w:type="dxa"/>
            <w:gridSpan w:val="2"/>
            <w:tcBorders>
              <w:bottom w:val="single" w:color="auto" w:sz="4" w:space="0"/>
              <w:right w:val="single" w:color="auto" w:sz="4" w:space="0"/>
            </w:tcBorders>
          </w:tcPr>
          <w:p>
            <w:pPr>
              <w:widowControl/>
              <w:jc w:val="center"/>
              <w:rPr>
                <w:kern w:val="0"/>
                <w:sz w:val="20"/>
                <w:szCs w:val="20"/>
              </w:rPr>
            </w:pPr>
            <w:r>
              <w:rPr>
                <w:rFonts w:hint="eastAsia"/>
                <w:kern w:val="0"/>
                <w:sz w:val="20"/>
                <w:szCs w:val="20"/>
              </w:rPr>
              <w:t>-43.5</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-28.16</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事业单位离退休</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0.00</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0.00</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0.00</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2080505</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9.36</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9.10</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9.10</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-0.26</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-2.7</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2080506</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0.00</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3.63</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3.63</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3.63</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2101102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事业单位医疗</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1.32</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3.62</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3.63</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2.31</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175</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2210201</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住房公积金</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2.02</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5.63</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5.63</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-0.22</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178.71</w:t>
            </w:r>
          </w:p>
        </w:tc>
      </w:tr>
      <w:tr>
        <w:tblPrEx>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合计　</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132.94</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119.65</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13.29</w:t>
            </w:r>
          </w:p>
        </w:tc>
        <w:tc>
          <w:tcPr>
            <w:tcW w:w="1260" w:type="dxa"/>
            <w:gridSpan w:val="2"/>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spacing w:line="520" w:lineRule="exact"/>
        <w:ind w:firstLine="640" w:firstLineChars="200"/>
        <w:outlineLvl w:val="1"/>
        <w:rPr>
          <w:rFonts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132.94</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93.46</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39.48</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93.46</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93.46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24.81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24.81</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22.50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22.50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11.20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11.20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5.15</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5.15</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16.16</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16.16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3.63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3.63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3.63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3.63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0.75</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0.75</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5.63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5.63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39.48</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39.48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1.83</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1.83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31.75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31.75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0.87</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0.87</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0.03</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0.03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我单位本年度无一般公共预算财政拨款“三公”经费支出。</w:t>
      </w: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640" w:firstLineChars="200"/>
        <w:jc w:val="center"/>
        <w:outlineLvl w:val="1"/>
        <w:rPr>
          <w:rFonts w:ascii="仿宋_GB2312" w:hAnsi="宋体" w:eastAsia="仿宋_GB2312"/>
          <w:kern w:val="0"/>
          <w:sz w:val="32"/>
          <w:szCs w:val="32"/>
        </w:rPr>
      </w:pP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我单位本年度无政府性基金预算财政拨款支出。</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132.94</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132.94</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132.94</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132.94</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132.94</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132.94</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132.94</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132.94</w:t>
            </w:r>
          </w:p>
        </w:tc>
      </w:tr>
    </w:tbl>
    <w:p>
      <w:pPr>
        <w:widowControl/>
        <w:ind w:firstLine="640" w:firstLineChars="200"/>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ascii="黑体" w:hAnsi="宋体" w:eastAsia="黑体"/>
          <w:b/>
          <w:bCs/>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149"/>
        <w:gridCol w:w="993"/>
        <w:gridCol w:w="992"/>
        <w:gridCol w:w="658"/>
        <w:gridCol w:w="839"/>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6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6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Arial"/>
                <w:color w:val="000000"/>
                <w:kern w:val="0"/>
                <w:sz w:val="22"/>
                <w:szCs w:val="22"/>
              </w:rPr>
              <w:t>132.94</w:t>
            </w:r>
          </w:p>
        </w:tc>
        <w:tc>
          <w:tcPr>
            <w:tcW w:w="993"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Arial"/>
                <w:color w:val="000000"/>
                <w:kern w:val="0"/>
                <w:sz w:val="22"/>
                <w:szCs w:val="22"/>
              </w:rPr>
              <w:t>132.94</w:t>
            </w:r>
          </w:p>
        </w:tc>
        <w:tc>
          <w:tcPr>
            <w:tcW w:w="9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Arial"/>
                <w:color w:val="000000"/>
                <w:kern w:val="0"/>
                <w:sz w:val="22"/>
                <w:szCs w:val="22"/>
              </w:rPr>
              <w:t>132.94</w:t>
            </w:r>
          </w:p>
        </w:tc>
        <w:tc>
          <w:tcPr>
            <w:tcW w:w="65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2050202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110.95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110.95</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9.10</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9.10</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3.63</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3.63</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3.63</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3.63</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5.63</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5.63</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r>
              <w:rPr>
                <w:rFonts w:hint="eastAsia" w:ascii="Calibri" w:hAnsi="Calibri" w:cs="宋体"/>
                <w:color w:val="000000"/>
                <w:kern w:val="0"/>
                <w:sz w:val="22"/>
                <w:szCs w:val="22"/>
              </w:rPr>
              <w:t>合计</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r>
              <w:rPr>
                <w:rFonts w:hint="eastAsia" w:ascii="宋体" w:hAnsi="宋体" w:cs="Arial"/>
                <w:color w:val="000000"/>
                <w:kern w:val="0"/>
                <w:sz w:val="22"/>
                <w:szCs w:val="22"/>
              </w:rPr>
              <w:t>132.94</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r>
              <w:rPr>
                <w:rFonts w:hint="eastAsia" w:ascii="宋体" w:hAnsi="宋体" w:cs="Arial"/>
                <w:color w:val="000000"/>
                <w:kern w:val="0"/>
                <w:sz w:val="22"/>
                <w:szCs w:val="22"/>
              </w:rPr>
              <w:t>132.94</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ind w:left="4514" w:hanging="4514" w:hangingChars="1249"/>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银川市金凤区第十八小学2020年部门预算</w:t>
      </w:r>
    </w:p>
    <w:p>
      <w:pPr>
        <w:widowControl/>
        <w:ind w:left="4514" w:hanging="4514" w:hangingChars="1249"/>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——部门预算情况说明</w:t>
      </w:r>
    </w:p>
    <w:p>
      <w:pPr>
        <w:widowControl/>
        <w:jc w:val="left"/>
        <w:outlineLvl w:val="1"/>
        <w:rPr>
          <w:rFonts w:ascii="仿宋_GB2312" w:hAnsi="宋体" w:eastAsia="仿宋_GB2312"/>
          <w:b/>
          <w:bCs/>
          <w:kern w:val="0"/>
          <w:sz w:val="36"/>
          <w:szCs w:val="36"/>
        </w:rPr>
      </w:pP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一、关于银川市金凤区第十八小学2020年财政拨款收支预算情况的总体说明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第十八小学2020年财政拨款收入预算132.94万元，其中：本年收入132.94万元，包括一般公共预算拨款132.94万元，政府性基金预算拨款0万元；上年结转结余0万元。支出预算132.94万元，包括：按政府收支分类功能科目逐项说明。如，教育支出110.95万元、社会保障和就业支出12.73万元、卫生健康支出3.63万元、住房保障支出5.63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eastAsia="黑体" w:cs="宋体"/>
          <w:b/>
          <w:bCs/>
          <w:kern w:val="0"/>
          <w:sz w:val="32"/>
          <w:szCs w:val="32"/>
        </w:rPr>
        <w:t>银川市金凤区第十八小学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银川市金凤区第十八小学2020年一般公共预算财政拨款基本支出110.95万元，其中：本年收入安排支出110.95万元，上年结转资金安排支出0万元。比2019年执行数（决算数）减少43.5万元，下降28.16%。</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93.46万元，主要包括：按部门支出经济分类科目分项说明。如，基本工资：24.81万元、津贴补贴：22.50万元、奖金：11.20万元、绩效工资：5.15万元、机关事业单位基本养老保险缴费16.16万元、职业年金缴费3.63万元、职工基本医疗保险缴费3.63万元、其他社会保障缴费0.75万元、住房公积金：5.63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39.48万元，主要包括：按部门支出经济分类科目分项说明。如，办公费：1.83万元、印刷费：1.00万元、电费：1.00万元、培训费2.00万元、维修（护）费1.00万元、学校取暖费：31.75万元、工会经费：0.87万元、福利费：0.03万元。</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第十八小学2020年一般公共预算财政拨款项目支出13.29万元，（项目分别分引进人才津贴：4.20万元；特岗老师班主任津贴：2.00万元；特岗老师养老保险7.09万元）其中：本年收入安排支出13.29万元，上年结转结余资金安排支出0万元。包括：按政府收支科目类、款、项，用途分项说明。如，</w:t>
      </w:r>
      <w:r>
        <w:rPr>
          <w:rFonts w:hint="eastAsia" w:ascii="仿宋" w:hAnsi="仿宋" w:eastAsia="仿宋"/>
          <w:kern w:val="0"/>
          <w:sz w:val="32"/>
          <w:szCs w:val="32"/>
        </w:rPr>
        <w:t>教育支出（类）普通教育（款）小学教育（项）2020年预算13.29万元，</w:t>
      </w:r>
      <w:r>
        <w:rPr>
          <w:rFonts w:hint="eastAsia" w:ascii="仿宋" w:hAnsi="仿宋" w:eastAsia="仿宋" w:cs="宋体"/>
          <w:kern w:val="0"/>
          <w:sz w:val="32"/>
          <w:szCs w:val="32"/>
        </w:rPr>
        <w:t>比2019年执行数（决算数）减少0.07万元，下降</w:t>
      </w:r>
      <w:bookmarkStart w:id="0" w:name="_GoBack"/>
      <w:bookmarkEnd w:id="0"/>
      <w:r>
        <w:rPr>
          <w:rFonts w:hint="eastAsia" w:ascii="仿宋" w:hAnsi="仿宋" w:eastAsia="仿宋" w:cs="宋体"/>
          <w:kern w:val="0"/>
          <w:sz w:val="32"/>
          <w:szCs w:val="32"/>
        </w:rPr>
        <w:t xml:space="preserve">0.5%。 </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必须按功能分类项级科目逐项说明。</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三、关于银川市金凤区第十八小学2020年一般公共预算财政拨款“三公”经费预算情况说明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第十八小学</w:t>
      </w:r>
      <w:r>
        <w:rPr>
          <w:rFonts w:hint="eastAsia" w:ascii="仿宋" w:hAnsi="仿宋" w:eastAsia="仿宋" w:cs="宋体"/>
          <w:kern w:val="0"/>
          <w:sz w:val="32"/>
          <w:szCs w:val="32"/>
        </w:rPr>
        <w:t>2020年“三公”经费财政拨款预算数为0万元，其中：因公出国（境）费0万元，公务用车购置0万元，公务用车运行费0万元，公务接待费0万元。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因上年度和本年度都无三公经费支出，所以没有增减变化情况。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四、关于银川市金凤区第十八小学2020年政府性基金预算拨款情况说明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银川市金凤区第十八小学2020年无政府性基金预算财政拨款收支。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五、关于银川市金凤区第十八小学2020年收支预算情况的总体说明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银川市金凤区第十八小学2020年收入总预算132.94万元，其中：本年收入132.94万元，上年结转结余0万元；支出总预算132.94万元，其中：本年支出132.94万元，年末结转结余0 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132.94万元，占100%；事业预算收入0万元，占0%；上级补助预算收入0万元，占0%；附属单位上缴预算收入0万元，占0 %；经营预算收入0万元，占0%；债务预算收入0万元，占0%；非同级财政拨款预算收入0万元，占0%；投资预算收益0万元，占0 %；其他预算收入0万元，占0%。</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行政支出0万元，占0%；事业支出223.05万元，占100%；经营支出0万元，占0%；上缴上级支出0万元，占0 %；对附属单位补助支出0万元，占0%；投资支出0万元，占0%；债务还本支出0万元，占0%；其他支出0万元，占0 %。</w:t>
      </w:r>
    </w:p>
    <w:p>
      <w:pPr>
        <w:widowControl/>
        <w:spacing w:line="560" w:lineRule="exact"/>
        <w:ind w:firstLine="480"/>
        <w:jc w:val="left"/>
        <w:rPr>
          <w:rFonts w:ascii="黑体" w:hAnsi="宋体" w:eastAsia="黑体" w:cs="宋体"/>
          <w:b/>
          <w:bCs/>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2020年，银川市金凤区第十八小学本级及所属等0个行政单位和0个参公管理事业单位的机关运行经费财政拨款预算0 万元，比2019年预算增加（减少）0万元，增长（下降）0 %。主要原因是：我校属全额拨款事业单位，无机关运行经费。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2020年，银川市金凤区十八小学政府采购预算0万元，其中：政府采购货物预算0万元，政府采购工程预算0万元，政府采购服务预算0万元。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截至2019年12月31日，银川市金凤区第十八小学占用使用国有资产总体情况为房屋12960平方米，价值0万元；（没有审计上账）土地0平方米，价值0万元；车辆0辆，价值   0万元；办公家具价值7.86万元；其他资产价值30.66万元。国有资产分布情况为：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办公家具价值7.86万元；其他资产价值30.66万元。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所属单位房屋0平方米，价值0万元；土地0平方米，价值0万元；车辆0辆，价值0万元；办公家具价值7.86万元；其他资产价值30.66万元。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2020年银川市金凤区第十八小学重点项目绩效评价：</w:t>
      </w:r>
      <w:r>
        <w:rPr>
          <w:rFonts w:hint="eastAsia" w:ascii="仿宋_GB2312" w:hAnsi="宋体" w:eastAsia="仿宋_GB2312" w:cs="宋体"/>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（五）其他需说明的事项：无。</w:t>
      </w:r>
    </w:p>
    <w:p>
      <w:pPr>
        <w:widowControl/>
        <w:spacing w:line="560" w:lineRule="exact"/>
        <w:ind w:firstLine="480"/>
        <w:jc w:val="left"/>
        <w:rPr>
          <w:rFonts w:ascii="仿宋_GB2312" w:hAnsi="宋体" w:eastAsia="仿宋_GB2312" w:cs="宋体"/>
          <w:kern w:val="0"/>
          <w:sz w:val="32"/>
          <w:szCs w:val="32"/>
        </w:rPr>
      </w:pP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金凤区第十八小学2020年部门预算—名词解释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before="240" w:after="240"/>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22</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5001"/>
    <w:rsid w:val="000057A8"/>
    <w:rsid w:val="000145BA"/>
    <w:rsid w:val="00043F07"/>
    <w:rsid w:val="00051CE6"/>
    <w:rsid w:val="0006670E"/>
    <w:rsid w:val="0007147B"/>
    <w:rsid w:val="000831C0"/>
    <w:rsid w:val="000858CD"/>
    <w:rsid w:val="00095461"/>
    <w:rsid w:val="000C42AF"/>
    <w:rsid w:val="000D7B37"/>
    <w:rsid w:val="00135137"/>
    <w:rsid w:val="0013519B"/>
    <w:rsid w:val="0015526B"/>
    <w:rsid w:val="001A5F33"/>
    <w:rsid w:val="001A68AF"/>
    <w:rsid w:val="001B3655"/>
    <w:rsid w:val="001C1D11"/>
    <w:rsid w:val="001E2B95"/>
    <w:rsid w:val="001F01D5"/>
    <w:rsid w:val="00203D9A"/>
    <w:rsid w:val="0022537E"/>
    <w:rsid w:val="0023640E"/>
    <w:rsid w:val="00247A5B"/>
    <w:rsid w:val="002C16C2"/>
    <w:rsid w:val="002C4BD6"/>
    <w:rsid w:val="002E78B6"/>
    <w:rsid w:val="002F53FA"/>
    <w:rsid w:val="003046DD"/>
    <w:rsid w:val="00322E88"/>
    <w:rsid w:val="003379A6"/>
    <w:rsid w:val="0035076A"/>
    <w:rsid w:val="00375123"/>
    <w:rsid w:val="003A44E5"/>
    <w:rsid w:val="003A6467"/>
    <w:rsid w:val="003B5F79"/>
    <w:rsid w:val="003F169E"/>
    <w:rsid w:val="003F3CFB"/>
    <w:rsid w:val="00423519"/>
    <w:rsid w:val="004379C6"/>
    <w:rsid w:val="00447276"/>
    <w:rsid w:val="004656F2"/>
    <w:rsid w:val="004725D4"/>
    <w:rsid w:val="00484DD2"/>
    <w:rsid w:val="004858B2"/>
    <w:rsid w:val="004B2681"/>
    <w:rsid w:val="004C7EB8"/>
    <w:rsid w:val="004E506D"/>
    <w:rsid w:val="00565B9A"/>
    <w:rsid w:val="00571B0D"/>
    <w:rsid w:val="005A4605"/>
    <w:rsid w:val="005C3E29"/>
    <w:rsid w:val="005D398A"/>
    <w:rsid w:val="005E4A5E"/>
    <w:rsid w:val="005E514F"/>
    <w:rsid w:val="006005FB"/>
    <w:rsid w:val="00616416"/>
    <w:rsid w:val="0062119E"/>
    <w:rsid w:val="00627DAC"/>
    <w:rsid w:val="00636127"/>
    <w:rsid w:val="0063712A"/>
    <w:rsid w:val="00673569"/>
    <w:rsid w:val="00683EA6"/>
    <w:rsid w:val="006876C2"/>
    <w:rsid w:val="006C056F"/>
    <w:rsid w:val="006C5B18"/>
    <w:rsid w:val="006C5E08"/>
    <w:rsid w:val="00707D46"/>
    <w:rsid w:val="007224F6"/>
    <w:rsid w:val="00797C6A"/>
    <w:rsid w:val="007A2546"/>
    <w:rsid w:val="007C4986"/>
    <w:rsid w:val="007E5001"/>
    <w:rsid w:val="00806D8F"/>
    <w:rsid w:val="00827AE2"/>
    <w:rsid w:val="00886E49"/>
    <w:rsid w:val="00887F21"/>
    <w:rsid w:val="008A668E"/>
    <w:rsid w:val="008C415B"/>
    <w:rsid w:val="00926C87"/>
    <w:rsid w:val="00955E13"/>
    <w:rsid w:val="009C5522"/>
    <w:rsid w:val="009E44B6"/>
    <w:rsid w:val="009E648E"/>
    <w:rsid w:val="009F1323"/>
    <w:rsid w:val="009F13B5"/>
    <w:rsid w:val="00A04D0E"/>
    <w:rsid w:val="00A16743"/>
    <w:rsid w:val="00A24808"/>
    <w:rsid w:val="00A27798"/>
    <w:rsid w:val="00A72DC8"/>
    <w:rsid w:val="00AB3815"/>
    <w:rsid w:val="00AC24ED"/>
    <w:rsid w:val="00AC52AB"/>
    <w:rsid w:val="00AC560B"/>
    <w:rsid w:val="00AD3B78"/>
    <w:rsid w:val="00AD7672"/>
    <w:rsid w:val="00AE0C83"/>
    <w:rsid w:val="00AE341C"/>
    <w:rsid w:val="00AF477F"/>
    <w:rsid w:val="00B21764"/>
    <w:rsid w:val="00B23E60"/>
    <w:rsid w:val="00B272E9"/>
    <w:rsid w:val="00B6472D"/>
    <w:rsid w:val="00B70EFD"/>
    <w:rsid w:val="00B714B8"/>
    <w:rsid w:val="00BC1F7F"/>
    <w:rsid w:val="00BC6810"/>
    <w:rsid w:val="00BF2120"/>
    <w:rsid w:val="00BF3EE9"/>
    <w:rsid w:val="00C05188"/>
    <w:rsid w:val="00C53A1E"/>
    <w:rsid w:val="00C54A32"/>
    <w:rsid w:val="00C70B3E"/>
    <w:rsid w:val="00C979BB"/>
    <w:rsid w:val="00CA0B80"/>
    <w:rsid w:val="00CE7FCB"/>
    <w:rsid w:val="00CF4C56"/>
    <w:rsid w:val="00D22F38"/>
    <w:rsid w:val="00D31A94"/>
    <w:rsid w:val="00D61F97"/>
    <w:rsid w:val="00D62C7C"/>
    <w:rsid w:val="00D6331F"/>
    <w:rsid w:val="00D66148"/>
    <w:rsid w:val="00D77DE1"/>
    <w:rsid w:val="00D953BC"/>
    <w:rsid w:val="00DA2209"/>
    <w:rsid w:val="00DA2C8F"/>
    <w:rsid w:val="00DB1945"/>
    <w:rsid w:val="00DB33E2"/>
    <w:rsid w:val="00DD5905"/>
    <w:rsid w:val="00DD6A51"/>
    <w:rsid w:val="00E0407D"/>
    <w:rsid w:val="00E214C5"/>
    <w:rsid w:val="00E21502"/>
    <w:rsid w:val="00E50E9E"/>
    <w:rsid w:val="00E70813"/>
    <w:rsid w:val="00E81193"/>
    <w:rsid w:val="00E82D24"/>
    <w:rsid w:val="00EB04E5"/>
    <w:rsid w:val="00EB3277"/>
    <w:rsid w:val="00ED10DD"/>
    <w:rsid w:val="00ED5EE6"/>
    <w:rsid w:val="00ED7999"/>
    <w:rsid w:val="00F70086"/>
    <w:rsid w:val="00F832C0"/>
    <w:rsid w:val="00FB2A8B"/>
    <w:rsid w:val="00FD37C7"/>
    <w:rsid w:val="0799037E"/>
    <w:rsid w:val="08D17665"/>
    <w:rsid w:val="09913515"/>
    <w:rsid w:val="09B10995"/>
    <w:rsid w:val="0A0C0998"/>
    <w:rsid w:val="0AB451E8"/>
    <w:rsid w:val="0BDC4823"/>
    <w:rsid w:val="0CB36C33"/>
    <w:rsid w:val="0D5C44D3"/>
    <w:rsid w:val="0F853949"/>
    <w:rsid w:val="111F5C9F"/>
    <w:rsid w:val="11442581"/>
    <w:rsid w:val="124263F0"/>
    <w:rsid w:val="1260054E"/>
    <w:rsid w:val="1E631F94"/>
    <w:rsid w:val="1F987EA7"/>
    <w:rsid w:val="20E46D7D"/>
    <w:rsid w:val="231D3246"/>
    <w:rsid w:val="23237FD9"/>
    <w:rsid w:val="23A507AB"/>
    <w:rsid w:val="24750923"/>
    <w:rsid w:val="24DE663F"/>
    <w:rsid w:val="27D97111"/>
    <w:rsid w:val="297E2DD7"/>
    <w:rsid w:val="29D930D5"/>
    <w:rsid w:val="2A1E16E5"/>
    <w:rsid w:val="2ABD1C6A"/>
    <w:rsid w:val="2B662A0C"/>
    <w:rsid w:val="2C7C5E71"/>
    <w:rsid w:val="2DD80ACD"/>
    <w:rsid w:val="2E403B49"/>
    <w:rsid w:val="2EA770C7"/>
    <w:rsid w:val="2EF0173A"/>
    <w:rsid w:val="2F5743B4"/>
    <w:rsid w:val="31926303"/>
    <w:rsid w:val="320809D3"/>
    <w:rsid w:val="33252112"/>
    <w:rsid w:val="345D6BAD"/>
    <w:rsid w:val="349611EA"/>
    <w:rsid w:val="34C45A1F"/>
    <w:rsid w:val="34E10A9D"/>
    <w:rsid w:val="37C50266"/>
    <w:rsid w:val="390A56B1"/>
    <w:rsid w:val="3C4F029D"/>
    <w:rsid w:val="3C8D1EFE"/>
    <w:rsid w:val="3CE3372A"/>
    <w:rsid w:val="403D5ED9"/>
    <w:rsid w:val="40933896"/>
    <w:rsid w:val="40AF4F2B"/>
    <w:rsid w:val="433C1948"/>
    <w:rsid w:val="48A178B9"/>
    <w:rsid w:val="4E8344A6"/>
    <w:rsid w:val="55DE7FBD"/>
    <w:rsid w:val="55EA130E"/>
    <w:rsid w:val="55ED5486"/>
    <w:rsid w:val="562B49A4"/>
    <w:rsid w:val="564011A4"/>
    <w:rsid w:val="571F7A3E"/>
    <w:rsid w:val="58516E39"/>
    <w:rsid w:val="5910392D"/>
    <w:rsid w:val="5BEA7BA6"/>
    <w:rsid w:val="5F560569"/>
    <w:rsid w:val="5FF9313D"/>
    <w:rsid w:val="61610595"/>
    <w:rsid w:val="682506B8"/>
    <w:rsid w:val="69E548FD"/>
    <w:rsid w:val="6A1B380E"/>
    <w:rsid w:val="6AE12F46"/>
    <w:rsid w:val="6BA96217"/>
    <w:rsid w:val="6CF3373F"/>
    <w:rsid w:val="6EFF42F1"/>
    <w:rsid w:val="6F151638"/>
    <w:rsid w:val="70075758"/>
    <w:rsid w:val="70D6008A"/>
    <w:rsid w:val="71351A68"/>
    <w:rsid w:val="71B26B15"/>
    <w:rsid w:val="72677F40"/>
    <w:rsid w:val="72BF0F2C"/>
    <w:rsid w:val="778F2AB2"/>
    <w:rsid w:val="79F43D43"/>
    <w:rsid w:val="7AAD1824"/>
    <w:rsid w:val="7B0E784A"/>
    <w:rsid w:val="7B4D34CA"/>
    <w:rsid w:val="7C8B15A1"/>
    <w:rsid w:val="7CD9143D"/>
    <w:rsid w:val="7D6F39D0"/>
    <w:rsid w:val="7E5B3870"/>
    <w:rsid w:val="7EA115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900D71-675B-4A4C-A0E2-4F244371F9F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1454</Words>
  <Characters>8291</Characters>
  <Lines>69</Lines>
  <Paragraphs>19</Paragraphs>
  <TotalTime>160</TotalTime>
  <ScaleCrop>false</ScaleCrop>
  <LinksUpToDate>false</LinksUpToDate>
  <CharactersWithSpaces>9726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云卷云舒</cp:lastModifiedBy>
  <cp:lastPrinted>2018-01-19T06:09:00Z</cp:lastPrinted>
  <dcterms:modified xsi:type="dcterms:W3CDTF">2020-02-24T07:50:47Z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