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ind w:right="640"/>
        <w:jc w:val="center"/>
        <w:rPr>
          <w:rFonts w:asciiTheme="majorEastAsia" w:hAnsiTheme="majorEastAsia" w:eastAsiaTheme="majorEastAsia" w:cstheme="majorEastAsia"/>
          <w:b/>
          <w:color w:val="000000"/>
          <w:kern w:val="0"/>
          <w:sz w:val="44"/>
          <w:szCs w:val="44"/>
        </w:rPr>
      </w:pPr>
    </w:p>
    <w:p>
      <w:pPr>
        <w:widowControl/>
        <w:spacing w:line="360" w:lineRule="auto"/>
        <w:ind w:right="640"/>
        <w:jc w:val="center"/>
        <w:rPr>
          <w:rFonts w:asciiTheme="majorEastAsia" w:hAnsiTheme="majorEastAsia" w:eastAsiaTheme="majorEastAsia" w:cstheme="majorEastAsia"/>
          <w:b/>
          <w:color w:val="000000"/>
          <w:kern w:val="0"/>
          <w:sz w:val="44"/>
          <w:szCs w:val="44"/>
        </w:rPr>
      </w:pPr>
    </w:p>
    <w:p>
      <w:pPr>
        <w:widowControl/>
        <w:spacing w:line="360" w:lineRule="auto"/>
        <w:ind w:right="640"/>
        <w:jc w:val="center"/>
        <w:rPr>
          <w:rFonts w:asciiTheme="majorEastAsia" w:hAnsiTheme="majorEastAsia" w:eastAsiaTheme="majorEastAsia" w:cstheme="majorEastAsia"/>
          <w:b/>
          <w:color w:val="000000"/>
          <w:kern w:val="0"/>
          <w:sz w:val="44"/>
          <w:szCs w:val="44"/>
        </w:rPr>
      </w:pPr>
    </w:p>
    <w:p>
      <w:pPr>
        <w:widowControl/>
        <w:spacing w:line="360" w:lineRule="auto"/>
        <w:ind w:right="640"/>
        <w:jc w:val="center"/>
        <w:rPr>
          <w:rFonts w:asciiTheme="majorEastAsia" w:hAnsiTheme="majorEastAsia" w:eastAsiaTheme="majorEastAsia" w:cstheme="majorEastAsia"/>
          <w:b/>
          <w:color w:val="000000"/>
          <w:kern w:val="0"/>
          <w:sz w:val="44"/>
          <w:szCs w:val="44"/>
        </w:rPr>
      </w:pPr>
      <w:r>
        <w:rPr>
          <w:rFonts w:hint="eastAsia" w:asciiTheme="majorEastAsia" w:hAnsiTheme="majorEastAsia" w:eastAsiaTheme="majorEastAsia" w:cstheme="majorEastAsia"/>
          <w:b/>
          <w:color w:val="000000"/>
          <w:kern w:val="0"/>
          <w:sz w:val="44"/>
          <w:szCs w:val="44"/>
        </w:rPr>
        <w:t xml:space="preserve"> 银川市金凤区第六小学</w:t>
      </w:r>
    </w:p>
    <w:p>
      <w:pPr>
        <w:widowControl/>
        <w:spacing w:line="360" w:lineRule="auto"/>
        <w:ind w:right="640"/>
        <w:jc w:val="center"/>
        <w:rPr>
          <w:rFonts w:asciiTheme="majorEastAsia" w:hAnsiTheme="majorEastAsia" w:eastAsiaTheme="majorEastAsia" w:cstheme="majorEastAsia"/>
          <w:b/>
          <w:color w:val="000000"/>
          <w:kern w:val="0"/>
          <w:sz w:val="44"/>
          <w:szCs w:val="44"/>
        </w:rPr>
      </w:pPr>
      <w:r>
        <w:rPr>
          <w:rFonts w:hint="eastAsia" w:asciiTheme="majorEastAsia" w:hAnsiTheme="majorEastAsia" w:eastAsiaTheme="majorEastAsia" w:cstheme="majorEastAsia"/>
          <w:b/>
          <w:color w:val="000000"/>
          <w:kern w:val="0"/>
          <w:sz w:val="44"/>
          <w:szCs w:val="44"/>
        </w:rPr>
        <w:t xml:space="preserve"> 2020年部门预算</w:t>
      </w: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p>
    <w:p>
      <w:pPr>
        <w:widowControl/>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银川市金凤区第六小学2020年部门预算</w:t>
      </w:r>
    </w:p>
    <w:p>
      <w:pPr>
        <w:widowControl/>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——单位概况</w:t>
      </w:r>
    </w:p>
    <w:p>
      <w:pPr>
        <w:widowControl/>
        <w:jc w:val="center"/>
        <w:outlineLvl w:val="1"/>
        <w:rPr>
          <w:rFonts w:ascii="宋体" w:hAnsi="宋体"/>
          <w:b/>
          <w:kern w:val="0"/>
          <w:sz w:val="32"/>
          <w:szCs w:val="32"/>
        </w:rPr>
      </w:pPr>
    </w:p>
    <w:p>
      <w:pPr>
        <w:widowControl/>
        <w:spacing w:line="560" w:lineRule="exact"/>
        <w:ind w:firstLine="480"/>
        <w:jc w:val="left"/>
        <w:rPr>
          <w:rFonts w:ascii="黑体" w:hAnsi="黑体" w:eastAsia="黑体" w:cs="宋体"/>
          <w:b/>
          <w:bCs/>
          <w:kern w:val="0"/>
          <w:sz w:val="32"/>
          <w:szCs w:val="32"/>
        </w:rPr>
      </w:pPr>
      <w:r>
        <w:rPr>
          <w:rFonts w:hint="eastAsia" w:ascii="仿宋_GB2312" w:hAnsi="宋体" w:eastAsia="仿宋_GB2312" w:cs="宋体"/>
          <w:kern w:val="0"/>
          <w:sz w:val="32"/>
          <w:szCs w:val="32"/>
        </w:rPr>
        <w:t>　</w:t>
      </w:r>
      <w:r>
        <w:rPr>
          <w:rFonts w:hint="eastAsia" w:ascii="黑体" w:hAnsi="黑体" w:eastAsia="黑体" w:cs="宋体"/>
          <w:b/>
          <w:bCs/>
          <w:kern w:val="0"/>
          <w:sz w:val="32"/>
          <w:szCs w:val="32"/>
        </w:rPr>
        <w:t>一、主要职能</w:t>
      </w:r>
    </w:p>
    <w:p>
      <w:pPr>
        <w:widowControl/>
        <w:spacing w:line="560" w:lineRule="exact"/>
        <w:jc w:val="left"/>
        <w:rPr>
          <w:rFonts w:ascii="仿宋" w:hAnsi="仿宋" w:eastAsia="仿宋" w:cs="宋体"/>
          <w:bCs/>
          <w:kern w:val="0"/>
          <w:sz w:val="32"/>
          <w:szCs w:val="32"/>
        </w:rPr>
      </w:pPr>
      <w:r>
        <w:rPr>
          <w:rFonts w:hint="eastAsia" w:ascii="仿宋" w:hAnsi="仿宋" w:eastAsia="仿宋" w:cs="宋体"/>
          <w:bCs/>
          <w:kern w:val="0"/>
          <w:sz w:val="32"/>
          <w:szCs w:val="32"/>
        </w:rPr>
        <w:t xml:space="preserve"> 主要工作宗旨为</w:t>
      </w:r>
      <w:r>
        <w:rPr>
          <w:rFonts w:ascii="仿宋" w:hAnsi="仿宋" w:eastAsia="仿宋" w:cs="宋体"/>
          <w:bCs/>
          <w:kern w:val="0"/>
          <w:sz w:val="32"/>
          <w:szCs w:val="32"/>
        </w:rPr>
        <w:t>:</w:t>
      </w:r>
      <w:r>
        <w:rPr>
          <w:rFonts w:hint="eastAsia" w:ascii="仿宋" w:hAnsi="仿宋" w:eastAsia="仿宋" w:cs="宋体"/>
          <w:bCs/>
          <w:kern w:val="0"/>
          <w:sz w:val="32"/>
          <w:szCs w:val="32"/>
        </w:rPr>
        <w:t>实施小学义务教育，促进基础教育发展。</w:t>
      </w:r>
    </w:p>
    <w:p>
      <w:pPr>
        <w:widowControl/>
        <w:spacing w:line="560" w:lineRule="exact"/>
        <w:ind w:firstLine="480"/>
        <w:jc w:val="left"/>
        <w:rPr>
          <w:rFonts w:ascii="黑体" w:hAnsi="黑体" w:eastAsia="黑体" w:cs="宋体"/>
          <w:b/>
          <w:bCs/>
          <w:kern w:val="0"/>
          <w:sz w:val="32"/>
          <w:szCs w:val="32"/>
        </w:rPr>
      </w:pPr>
      <w:r>
        <w:rPr>
          <w:rFonts w:hint="eastAsia" w:ascii="仿宋_GB2312" w:hAnsi="宋体" w:eastAsia="仿宋_GB2312" w:cs="宋体"/>
          <w:kern w:val="0"/>
          <w:sz w:val="32"/>
          <w:szCs w:val="32"/>
        </w:rPr>
        <w:t>　</w:t>
      </w:r>
      <w:r>
        <w:rPr>
          <w:rFonts w:hint="eastAsia" w:ascii="黑体" w:hAnsi="黑体" w:eastAsia="黑体" w:cs="宋体"/>
          <w:b/>
          <w:bCs/>
          <w:kern w:val="0"/>
          <w:sz w:val="32"/>
          <w:szCs w:val="32"/>
        </w:rPr>
        <w:t>二、部门预算单位构成</w:t>
      </w:r>
    </w:p>
    <w:p>
      <w:pPr>
        <w:widowControl/>
        <w:spacing w:line="560" w:lineRule="exact"/>
        <w:jc w:val="left"/>
        <w:rPr>
          <w:rFonts w:ascii="仿宋" w:hAnsi="仿宋" w:eastAsia="仿宋" w:cs="宋体"/>
          <w:bCs/>
          <w:kern w:val="0"/>
          <w:sz w:val="32"/>
          <w:szCs w:val="32"/>
        </w:rPr>
      </w:pPr>
      <w:r>
        <w:rPr>
          <w:rFonts w:hint="eastAsia" w:ascii="仿宋" w:hAnsi="仿宋" w:eastAsia="仿宋" w:cs="宋体"/>
          <w:bCs/>
          <w:kern w:val="0"/>
          <w:sz w:val="32"/>
          <w:szCs w:val="32"/>
        </w:rPr>
        <w:t>对本部门（单位）及所属预算单位构成进行详细说明。如：</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从预算单位构成看，银川市金凤区第六小学部门预算包括：银川市金凤区第六小学本级预算。</w:t>
      </w:r>
    </w:p>
    <w:p>
      <w:pPr>
        <w:widowControl/>
        <w:spacing w:line="560" w:lineRule="exact"/>
        <w:ind w:firstLine="480"/>
        <w:jc w:val="left"/>
        <w:rPr>
          <w:rFonts w:ascii="仿宋" w:hAnsi="仿宋" w:eastAsia="仿宋" w:cs="宋体"/>
          <w:kern w:val="0"/>
          <w:sz w:val="32"/>
          <w:szCs w:val="32"/>
        </w:rPr>
      </w:pPr>
    </w:p>
    <w:p>
      <w:pPr>
        <w:widowControl/>
        <w:spacing w:line="560" w:lineRule="exact"/>
        <w:ind w:firstLine="480"/>
        <w:jc w:val="left"/>
        <w:rPr>
          <w:rFonts w:ascii="仿宋" w:hAnsi="仿宋" w:eastAsia="仿宋" w:cs="宋体"/>
          <w:kern w:val="0"/>
          <w:sz w:val="32"/>
          <w:szCs w:val="32"/>
        </w:rPr>
      </w:pPr>
    </w:p>
    <w:p>
      <w:pPr>
        <w:widowControl/>
        <w:spacing w:line="560" w:lineRule="exact"/>
        <w:ind w:firstLine="480"/>
        <w:jc w:val="left"/>
        <w:rPr>
          <w:rFonts w:ascii="仿宋" w:hAnsi="仿宋" w:eastAsia="仿宋" w:cs="宋体"/>
          <w:kern w:val="0"/>
          <w:sz w:val="32"/>
          <w:szCs w:val="32"/>
        </w:rPr>
      </w:pPr>
    </w:p>
    <w:p>
      <w:pPr>
        <w:widowControl/>
        <w:spacing w:line="560" w:lineRule="exact"/>
        <w:ind w:firstLine="480"/>
        <w:jc w:val="left"/>
        <w:rPr>
          <w:rFonts w:ascii="仿宋" w:hAnsi="仿宋" w:eastAsia="仿宋" w:cs="宋体"/>
          <w:kern w:val="0"/>
          <w:sz w:val="32"/>
          <w:szCs w:val="32"/>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sectPr>
          <w:pgSz w:w="11906" w:h="16838"/>
          <w:pgMar w:top="1440" w:right="1800" w:bottom="1440" w:left="1800" w:header="851" w:footer="992" w:gutter="0"/>
          <w:cols w:space="720" w:num="1"/>
          <w:docGrid w:type="lines" w:linePitch="312" w:charSpace="0"/>
        </w:sectPr>
      </w:pPr>
    </w:p>
    <w:p>
      <w:pPr>
        <w:widowControl/>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银川市金凤区第六小学2020年部门预算</w:t>
      </w:r>
    </w:p>
    <w:p>
      <w:pPr>
        <w:widowControl/>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——预算表</w:t>
      </w:r>
    </w:p>
    <w:p>
      <w:pPr>
        <w:widowControl/>
        <w:ind w:firstLine="640" w:firstLineChars="200"/>
        <w:outlineLvl w:val="1"/>
        <w:rPr>
          <w:rFonts w:ascii="黑体" w:hAnsi="宋体" w:eastAsia="黑体"/>
          <w:b/>
          <w:kern w:val="0"/>
          <w:sz w:val="32"/>
          <w:szCs w:val="32"/>
        </w:rPr>
      </w:pPr>
      <w:r>
        <w:rPr>
          <w:rFonts w:hint="eastAsia" w:ascii="黑体" w:hAnsi="宋体" w:eastAsia="黑体"/>
          <w:b/>
          <w:kern w:val="0"/>
          <w:sz w:val="32"/>
          <w:szCs w:val="32"/>
        </w:rPr>
        <w:t>一、财政拨款收支预算总表</w:t>
      </w:r>
    </w:p>
    <w:p>
      <w:pPr>
        <w:widowControl/>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财政拨款收支预算总表</w:t>
      </w:r>
    </w:p>
    <w:p>
      <w:pPr>
        <w:widowControl/>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W w:w="13160" w:type="dxa"/>
        <w:tblInd w:w="91" w:type="dxa"/>
        <w:tblLayout w:type="fixed"/>
        <w:tblCellMar>
          <w:top w:w="0" w:type="dxa"/>
          <w:left w:w="108" w:type="dxa"/>
          <w:bottom w:w="0" w:type="dxa"/>
          <w:right w:w="108" w:type="dxa"/>
        </w:tblCellMar>
      </w:tblPr>
      <w:tblGrid>
        <w:gridCol w:w="3860"/>
        <w:gridCol w:w="1360"/>
        <w:gridCol w:w="3860"/>
        <w:gridCol w:w="1360"/>
        <w:gridCol w:w="1360"/>
        <w:gridCol w:w="1360"/>
      </w:tblGrid>
      <w:tr>
        <w:tblPrEx>
          <w:tblCellMar>
            <w:top w:w="0" w:type="dxa"/>
            <w:left w:w="108" w:type="dxa"/>
            <w:bottom w:w="0" w:type="dxa"/>
            <w:right w:w="108" w:type="dxa"/>
          </w:tblCellMar>
        </w:tblPrEx>
        <w:trPr>
          <w:trHeight w:val="308" w:hRule="atLeast"/>
        </w:trPr>
        <w:tc>
          <w:tcPr>
            <w:tcW w:w="5220" w:type="dxa"/>
            <w:gridSpan w:val="2"/>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收     入</w:t>
            </w:r>
          </w:p>
        </w:tc>
        <w:tc>
          <w:tcPr>
            <w:tcW w:w="7940" w:type="dxa"/>
            <w:gridSpan w:val="4"/>
            <w:tcBorders>
              <w:top w:val="single" w:color="000000" w:sz="8" w:space="0"/>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支     出</w:t>
            </w:r>
          </w:p>
        </w:tc>
      </w:tr>
      <w:tr>
        <w:tblPrEx>
          <w:tblCellMar>
            <w:top w:w="0" w:type="dxa"/>
            <w:left w:w="108" w:type="dxa"/>
            <w:bottom w:w="0" w:type="dxa"/>
            <w:right w:w="108" w:type="dxa"/>
          </w:tblCellMar>
        </w:tblPrEx>
        <w:trPr>
          <w:trHeight w:val="315" w:hRule="atLeast"/>
        </w:trPr>
        <w:tc>
          <w:tcPr>
            <w:tcW w:w="3860"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项    目</w:t>
            </w:r>
          </w:p>
        </w:tc>
        <w:tc>
          <w:tcPr>
            <w:tcW w:w="1360" w:type="dxa"/>
            <w:vMerge w:val="restart"/>
            <w:tcBorders>
              <w:top w:val="nil"/>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预算数</w:t>
            </w:r>
          </w:p>
        </w:tc>
        <w:tc>
          <w:tcPr>
            <w:tcW w:w="3860" w:type="dxa"/>
            <w:vMerge w:val="restart"/>
            <w:tcBorders>
              <w:top w:val="nil"/>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项目（按功能分类）</w:t>
            </w:r>
          </w:p>
        </w:tc>
        <w:tc>
          <w:tcPr>
            <w:tcW w:w="4080"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预算数</w:t>
            </w:r>
          </w:p>
        </w:tc>
      </w:tr>
      <w:tr>
        <w:tblPrEx>
          <w:tblCellMar>
            <w:top w:w="0" w:type="dxa"/>
            <w:left w:w="108" w:type="dxa"/>
            <w:bottom w:w="0" w:type="dxa"/>
            <w:right w:w="108" w:type="dxa"/>
          </w:tblCellMar>
        </w:tblPrEx>
        <w:trPr>
          <w:trHeight w:val="1005" w:hRule="atLeast"/>
        </w:trPr>
        <w:tc>
          <w:tcPr>
            <w:tcW w:w="3860"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b/>
                <w:color w:val="000000"/>
                <w:kern w:val="0"/>
                <w:sz w:val="22"/>
                <w:szCs w:val="22"/>
              </w:rPr>
            </w:pPr>
          </w:p>
        </w:tc>
        <w:tc>
          <w:tcPr>
            <w:tcW w:w="1360"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color w:val="000000"/>
                <w:kern w:val="0"/>
                <w:sz w:val="22"/>
                <w:szCs w:val="22"/>
              </w:rPr>
            </w:pPr>
          </w:p>
        </w:tc>
        <w:tc>
          <w:tcPr>
            <w:tcW w:w="3860"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小计</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一般公共预算财政拨款支出</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政府性基金预算财政拨款支出</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一、本年收入</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598.01</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一、本年支出</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598.01　</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598.01　</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（一）一般公共预算财政拨款收入</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598.01</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（一）一般公共服务支出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90"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（二）政府性基金预算财政拨款收入</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（二）外交支出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（三）国防支出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（四）公共安全支出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（五）教育支出</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435.57</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435.57</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（六）科学技术支出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（七）文化旅游体育与传媒支出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single" w:color="auto"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single" w:color="auto"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（八）社会保障和就业支出</w:t>
            </w:r>
          </w:p>
        </w:tc>
        <w:tc>
          <w:tcPr>
            <w:tcW w:w="1360"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96.31</w:t>
            </w:r>
          </w:p>
        </w:tc>
        <w:tc>
          <w:tcPr>
            <w:tcW w:w="1360"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96.31</w:t>
            </w:r>
          </w:p>
        </w:tc>
        <w:tc>
          <w:tcPr>
            <w:tcW w:w="1360" w:type="dxa"/>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（九）卫生健康支出</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25.98</w:t>
            </w:r>
          </w:p>
        </w:tc>
        <w:tc>
          <w:tcPr>
            <w:tcW w:w="1360" w:type="dxa"/>
            <w:tcBorders>
              <w:top w:val="nil"/>
              <w:left w:val="nil"/>
              <w:bottom w:val="single" w:color="000000" w:sz="4" w:space="0"/>
              <w:right w:val="single" w:color="000000" w:sz="4" w:space="0"/>
            </w:tcBorders>
            <w:vAlign w:val="center"/>
          </w:tcPr>
          <w:p>
            <w:pPr>
              <w:widowControl/>
              <w:tabs>
                <w:tab w:val="center" w:pos="572"/>
                <w:tab w:val="right" w:pos="1484"/>
              </w:tabs>
              <w:jc w:val="center"/>
              <w:rPr>
                <w:rFonts w:ascii="宋体" w:hAnsi="宋体" w:cs="Arial"/>
                <w:color w:val="000000"/>
                <w:kern w:val="0"/>
                <w:sz w:val="22"/>
                <w:szCs w:val="22"/>
              </w:rPr>
            </w:pPr>
            <w:r>
              <w:rPr>
                <w:rFonts w:hint="eastAsia" w:ascii="宋体" w:hAnsi="宋体" w:cs="Arial"/>
                <w:color w:val="000000"/>
                <w:kern w:val="0"/>
                <w:sz w:val="22"/>
                <w:szCs w:val="22"/>
              </w:rPr>
              <w:t>25.98</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（十）节能环保支出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（十一）城乡社区支出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（十二）农林水支出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（十三）交通运输支出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（十四）资源勘探信息等支出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（十五）商业服务业等支出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90"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（十六）金融支出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（十七）自然资源海洋气象等支出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（十八）住房保障支出</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40.14</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40.14</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（十九）粮油物资储备支出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（二十）灾害防治及应急管理支出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（二十一）其他支出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二、上年结转结余</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　二、年末结转结余</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（一）一般公共预算财政拨款</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（一）一般公共预算财政拨款</w:t>
            </w:r>
          </w:p>
        </w:tc>
        <w:tc>
          <w:tcPr>
            <w:tcW w:w="1360" w:type="dxa"/>
            <w:tcBorders>
              <w:top w:val="nil"/>
              <w:left w:val="nil"/>
              <w:bottom w:val="nil"/>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（二）政府性基金预算财政拨款</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nil"/>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（二）政府性基金预算财政拨款</w:t>
            </w:r>
          </w:p>
        </w:tc>
        <w:tc>
          <w:tcPr>
            <w:tcW w:w="136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8" w:space="0"/>
              <w:right w:val="single" w:color="000000"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收入总计</w:t>
            </w:r>
          </w:p>
        </w:tc>
        <w:tc>
          <w:tcPr>
            <w:tcW w:w="1360" w:type="dxa"/>
            <w:tcBorders>
              <w:top w:val="nil"/>
              <w:left w:val="nil"/>
              <w:bottom w:val="single" w:color="000000" w:sz="8"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598.01</w:t>
            </w:r>
          </w:p>
        </w:tc>
        <w:tc>
          <w:tcPr>
            <w:tcW w:w="7940" w:type="dxa"/>
            <w:gridSpan w:val="4"/>
            <w:tcBorders>
              <w:top w:val="single" w:color="000000" w:sz="4" w:space="0"/>
              <w:left w:val="nil"/>
              <w:bottom w:val="single" w:color="000000" w:sz="8" w:space="0"/>
              <w:right w:val="single" w:color="000000"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 xml:space="preserve">支出总计        </w:t>
            </w:r>
            <w:r>
              <w:rPr>
                <w:rFonts w:hint="eastAsia" w:ascii="宋体" w:hAnsi="宋体" w:cs="Arial"/>
                <w:color w:val="000000"/>
                <w:kern w:val="0"/>
                <w:sz w:val="22"/>
                <w:szCs w:val="22"/>
              </w:rPr>
              <w:t>598.01</w:t>
            </w:r>
          </w:p>
        </w:tc>
      </w:tr>
    </w:tbl>
    <w:p>
      <w:pPr>
        <w:widowControl/>
        <w:outlineLvl w:val="1"/>
        <w:rPr>
          <w:rFonts w:ascii="黑体" w:hAnsi="宋体" w:eastAsia="黑体"/>
          <w:b/>
          <w:kern w:val="0"/>
          <w:sz w:val="32"/>
          <w:szCs w:val="32"/>
        </w:rPr>
      </w:pPr>
      <w:r>
        <w:rPr>
          <w:rFonts w:hint="eastAsia" w:ascii="仿宋_GB2312" w:hAnsi="宋体" w:eastAsia="仿宋_GB2312"/>
          <w:kern w:val="0"/>
          <w:sz w:val="32"/>
          <w:szCs w:val="32"/>
        </w:rPr>
        <w:t>注：支出预算功能科目各单位根据本单位实际据实填写，其他科目删除。</w:t>
      </w:r>
    </w:p>
    <w:p>
      <w:pPr>
        <w:widowControl/>
        <w:ind w:firstLine="640" w:firstLineChars="200"/>
        <w:outlineLvl w:val="1"/>
        <w:rPr>
          <w:rFonts w:ascii="黑体" w:hAnsi="宋体" w:eastAsia="黑体"/>
          <w:b/>
          <w:kern w:val="0"/>
          <w:sz w:val="32"/>
          <w:szCs w:val="32"/>
        </w:rPr>
      </w:pPr>
      <w:r>
        <w:rPr>
          <w:rFonts w:hint="eastAsia" w:ascii="黑体" w:hAnsi="宋体" w:eastAsia="黑体"/>
          <w:b/>
          <w:kern w:val="0"/>
          <w:sz w:val="32"/>
          <w:szCs w:val="32"/>
        </w:rPr>
        <w:t>二、财政拨款支出预算总表</w:t>
      </w:r>
    </w:p>
    <w:p>
      <w:pPr>
        <w:widowControl/>
        <w:ind w:firstLine="720"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财政拨款支出预算总表</w:t>
      </w:r>
    </w:p>
    <w:p>
      <w:pPr>
        <w:widowControl/>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W w:w="13767" w:type="dxa"/>
        <w:tblInd w:w="91" w:type="dxa"/>
        <w:tblLayout w:type="fixed"/>
        <w:tblCellMar>
          <w:top w:w="0" w:type="dxa"/>
          <w:left w:w="108" w:type="dxa"/>
          <w:bottom w:w="0" w:type="dxa"/>
          <w:right w:w="108" w:type="dxa"/>
        </w:tblCellMar>
      </w:tblPr>
      <w:tblGrid>
        <w:gridCol w:w="1097"/>
        <w:gridCol w:w="1707"/>
        <w:gridCol w:w="980"/>
        <w:gridCol w:w="1247"/>
        <w:gridCol w:w="1247"/>
        <w:gridCol w:w="1247"/>
        <w:gridCol w:w="1247"/>
        <w:gridCol w:w="1247"/>
        <w:gridCol w:w="1247"/>
        <w:gridCol w:w="1247"/>
        <w:gridCol w:w="1254"/>
      </w:tblGrid>
      <w:tr>
        <w:tblPrEx>
          <w:tblCellMar>
            <w:top w:w="0" w:type="dxa"/>
            <w:left w:w="108" w:type="dxa"/>
            <w:bottom w:w="0" w:type="dxa"/>
            <w:right w:w="108" w:type="dxa"/>
          </w:tblCellMar>
        </w:tblPrEx>
        <w:trPr>
          <w:trHeight w:val="555" w:hRule="atLeast"/>
        </w:trPr>
        <w:tc>
          <w:tcPr>
            <w:tcW w:w="2804"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功能分类科目</w:t>
            </w:r>
          </w:p>
        </w:tc>
        <w:tc>
          <w:tcPr>
            <w:tcW w:w="98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预算安排总计</w:t>
            </w:r>
          </w:p>
        </w:tc>
        <w:tc>
          <w:tcPr>
            <w:tcW w:w="4988" w:type="dxa"/>
            <w:gridSpan w:val="4"/>
            <w:tcBorders>
              <w:top w:val="single" w:color="000000" w:sz="8" w:space="0"/>
              <w:left w:val="single" w:color="000000" w:sz="8" w:space="0"/>
              <w:bottom w:val="single" w:color="000000" w:sz="8" w:space="0"/>
              <w:right w:val="single" w:color="auto" w:sz="4" w:space="0"/>
            </w:tcBorders>
            <w:shd w:val="clear" w:color="auto" w:fill="FFFFFF"/>
            <w:vAlign w:val="center"/>
          </w:tcPr>
          <w:p>
            <w:pPr>
              <w:widowControl/>
              <w:jc w:val="center"/>
              <w:rPr>
                <w:b/>
                <w:color w:val="000000"/>
                <w:kern w:val="0"/>
                <w:szCs w:val="21"/>
              </w:rPr>
            </w:pPr>
            <w:r>
              <w:rPr>
                <w:rFonts w:hint="eastAsia" w:ascii="宋体" w:hAnsi="宋体" w:cs="宋体"/>
                <w:b/>
                <w:bCs/>
                <w:color w:val="000000"/>
                <w:kern w:val="0"/>
                <w:szCs w:val="21"/>
              </w:rPr>
              <w:t>一般公共财政预算拨款支出</w:t>
            </w:r>
          </w:p>
        </w:tc>
        <w:tc>
          <w:tcPr>
            <w:tcW w:w="4995" w:type="dxa"/>
            <w:gridSpan w:val="4"/>
            <w:tcBorders>
              <w:top w:val="single" w:color="auto" w:sz="4" w:space="0"/>
              <w:left w:val="nil"/>
              <w:bottom w:val="single" w:color="auto" w:sz="4" w:space="0"/>
              <w:right w:val="single" w:color="auto" w:sz="4" w:space="0"/>
            </w:tcBorders>
            <w:vAlign w:val="center"/>
          </w:tcPr>
          <w:p>
            <w:pPr>
              <w:widowControl/>
              <w:jc w:val="center"/>
              <w:rPr>
                <w:b/>
                <w:color w:val="000000"/>
                <w:kern w:val="0"/>
                <w:szCs w:val="21"/>
              </w:rPr>
            </w:pPr>
            <w:r>
              <w:rPr>
                <w:rFonts w:hint="eastAsia"/>
                <w:b/>
                <w:color w:val="000000"/>
                <w:kern w:val="0"/>
                <w:szCs w:val="21"/>
              </w:rPr>
              <w:t>政府性基金预算财政拨款支出</w:t>
            </w:r>
          </w:p>
        </w:tc>
      </w:tr>
      <w:tr>
        <w:tblPrEx>
          <w:tblCellMar>
            <w:top w:w="0" w:type="dxa"/>
            <w:left w:w="108" w:type="dxa"/>
            <w:bottom w:w="0" w:type="dxa"/>
            <w:right w:w="108" w:type="dxa"/>
          </w:tblCellMar>
        </w:tblPrEx>
        <w:trPr>
          <w:trHeight w:val="1035"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Cs w:val="21"/>
              </w:rPr>
              <w:t>科目编码</w:t>
            </w:r>
          </w:p>
        </w:tc>
        <w:tc>
          <w:tcPr>
            <w:tcW w:w="170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Cs w:val="21"/>
              </w:rPr>
              <w:t>科目名称</w:t>
            </w:r>
          </w:p>
        </w:tc>
        <w:tc>
          <w:tcPr>
            <w:tcW w:w="9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Cs w:val="21"/>
              </w:rPr>
              <w:t>本级财力安排支出</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b/>
                <w:color w:val="000000"/>
                <w:kern w:val="0"/>
                <w:szCs w:val="21"/>
              </w:rPr>
              <w:t>专项转移支付安排支出</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b/>
                <w:color w:val="000000"/>
                <w:kern w:val="0"/>
                <w:szCs w:val="21"/>
              </w:rPr>
              <w:t>一般性转移支付安排支出</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Cs w:val="21"/>
              </w:rPr>
              <w:t>本级财力安排支出</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color w:val="000000"/>
                <w:kern w:val="0"/>
                <w:sz w:val="20"/>
                <w:szCs w:val="20"/>
              </w:rPr>
            </w:pPr>
            <w:r>
              <w:rPr>
                <w:rFonts w:hint="eastAsia"/>
                <w:b/>
                <w:color w:val="000000"/>
                <w:kern w:val="0"/>
                <w:szCs w:val="21"/>
              </w:rPr>
              <w:t>专项转移支付安排支出</w:t>
            </w:r>
          </w:p>
        </w:tc>
        <w:tc>
          <w:tcPr>
            <w:tcW w:w="125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color w:val="000000"/>
                <w:kern w:val="0"/>
                <w:sz w:val="20"/>
                <w:szCs w:val="20"/>
              </w:rPr>
            </w:pPr>
            <w:r>
              <w:rPr>
                <w:rFonts w:hint="eastAsia"/>
                <w:b/>
                <w:color w:val="000000"/>
                <w:kern w:val="0"/>
                <w:szCs w:val="21"/>
              </w:rPr>
              <w:t>一般性转移支付安排支出</w:t>
            </w:r>
          </w:p>
        </w:tc>
      </w:tr>
      <w:tr>
        <w:tblPrEx>
          <w:tblCellMar>
            <w:top w:w="0" w:type="dxa"/>
            <w:left w:w="108" w:type="dxa"/>
            <w:bottom w:w="0" w:type="dxa"/>
            <w:right w:w="108" w:type="dxa"/>
          </w:tblCellMar>
        </w:tblPrEx>
        <w:trPr>
          <w:trHeight w:val="555"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2050202</w:t>
            </w:r>
          </w:p>
        </w:tc>
        <w:tc>
          <w:tcPr>
            <w:tcW w:w="170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小学教育</w:t>
            </w:r>
          </w:p>
        </w:tc>
        <w:tc>
          <w:tcPr>
            <w:tcW w:w="9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Arial"/>
                <w:color w:val="000000"/>
                <w:kern w:val="0"/>
                <w:sz w:val="22"/>
                <w:szCs w:val="22"/>
              </w:rPr>
              <w:t>435.57</w:t>
            </w: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Arial"/>
                <w:color w:val="000000"/>
                <w:kern w:val="0"/>
                <w:sz w:val="22"/>
                <w:szCs w:val="22"/>
              </w:rPr>
              <w:t>435.57</w:t>
            </w: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Arial"/>
                <w:color w:val="000000"/>
                <w:kern w:val="0"/>
                <w:sz w:val="22"/>
                <w:szCs w:val="22"/>
              </w:rPr>
              <w:t>435.57</w:t>
            </w: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r>
      <w:tr>
        <w:tblPrEx>
          <w:tblCellMar>
            <w:top w:w="0" w:type="dxa"/>
            <w:left w:w="108" w:type="dxa"/>
            <w:bottom w:w="0" w:type="dxa"/>
            <w:right w:w="108" w:type="dxa"/>
          </w:tblCellMar>
        </w:tblPrEx>
        <w:trPr>
          <w:trHeight w:val="605"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2080502</w:t>
            </w:r>
          </w:p>
        </w:tc>
        <w:tc>
          <w:tcPr>
            <w:tcW w:w="170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事业单位离退休</w:t>
            </w:r>
          </w:p>
        </w:tc>
        <w:tc>
          <w:tcPr>
            <w:tcW w:w="9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5.40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5.40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5.40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r>
      <w:tr>
        <w:tblPrEx>
          <w:tblCellMar>
            <w:top w:w="0" w:type="dxa"/>
            <w:left w:w="108" w:type="dxa"/>
            <w:bottom w:w="0" w:type="dxa"/>
            <w:right w:w="108" w:type="dxa"/>
          </w:tblCellMar>
        </w:tblPrEx>
        <w:trPr>
          <w:trHeight w:val="598"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2080505</w:t>
            </w:r>
          </w:p>
        </w:tc>
        <w:tc>
          <w:tcPr>
            <w:tcW w:w="170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机关事业单位基本养老保险缴费支出</w:t>
            </w:r>
          </w:p>
        </w:tc>
        <w:tc>
          <w:tcPr>
            <w:tcW w:w="9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64.94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64.94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64.94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r>
      <w:tr>
        <w:tblPrEx>
          <w:tblCellMar>
            <w:top w:w="0" w:type="dxa"/>
            <w:left w:w="108" w:type="dxa"/>
            <w:bottom w:w="0" w:type="dxa"/>
            <w:right w:w="108" w:type="dxa"/>
          </w:tblCellMar>
        </w:tblPrEx>
        <w:trPr>
          <w:trHeight w:val="621"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2080506</w:t>
            </w:r>
          </w:p>
        </w:tc>
        <w:tc>
          <w:tcPr>
            <w:tcW w:w="170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机关事业单位职业年金缴费支出</w:t>
            </w:r>
          </w:p>
        </w:tc>
        <w:tc>
          <w:tcPr>
            <w:tcW w:w="9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25.98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25.98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25.98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r>
      <w:tr>
        <w:tblPrEx>
          <w:tblCellMar>
            <w:top w:w="0" w:type="dxa"/>
            <w:left w:w="108" w:type="dxa"/>
            <w:bottom w:w="0" w:type="dxa"/>
            <w:right w:w="108" w:type="dxa"/>
          </w:tblCellMar>
        </w:tblPrEx>
        <w:trPr>
          <w:trHeight w:val="614"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2101102</w:t>
            </w:r>
          </w:p>
        </w:tc>
        <w:tc>
          <w:tcPr>
            <w:tcW w:w="170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事业单位医疗</w:t>
            </w:r>
          </w:p>
        </w:tc>
        <w:tc>
          <w:tcPr>
            <w:tcW w:w="9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25.98</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25.98</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25.98</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r>
      <w:tr>
        <w:tblPrEx>
          <w:tblCellMar>
            <w:top w:w="0" w:type="dxa"/>
            <w:left w:w="108" w:type="dxa"/>
            <w:bottom w:w="0" w:type="dxa"/>
            <w:right w:w="108" w:type="dxa"/>
          </w:tblCellMar>
        </w:tblPrEx>
        <w:trPr>
          <w:trHeight w:val="608"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2210201</w:t>
            </w:r>
          </w:p>
        </w:tc>
        <w:tc>
          <w:tcPr>
            <w:tcW w:w="170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住房公积金</w:t>
            </w:r>
          </w:p>
        </w:tc>
        <w:tc>
          <w:tcPr>
            <w:tcW w:w="9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40.14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40.14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40.14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r>
      <w:tr>
        <w:tblPrEx>
          <w:tblCellMar>
            <w:top w:w="0" w:type="dxa"/>
            <w:left w:w="108" w:type="dxa"/>
            <w:bottom w:w="0" w:type="dxa"/>
            <w:right w:w="108" w:type="dxa"/>
          </w:tblCellMar>
        </w:tblPrEx>
        <w:trPr>
          <w:trHeight w:val="608"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cs="宋体"/>
                <w:color w:val="000000"/>
                <w:kern w:val="0"/>
                <w:sz w:val="20"/>
                <w:szCs w:val="20"/>
              </w:rPr>
            </w:pPr>
          </w:p>
        </w:tc>
        <w:tc>
          <w:tcPr>
            <w:tcW w:w="170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合计</w:t>
            </w:r>
          </w:p>
        </w:tc>
        <w:tc>
          <w:tcPr>
            <w:tcW w:w="9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Arial"/>
                <w:color w:val="000000"/>
                <w:kern w:val="0"/>
                <w:sz w:val="22"/>
                <w:szCs w:val="22"/>
              </w:rPr>
              <w:t>598.01</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Arial"/>
                <w:color w:val="000000"/>
                <w:kern w:val="0"/>
                <w:sz w:val="22"/>
                <w:szCs w:val="22"/>
              </w:rPr>
              <w:t>598.01</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Arial"/>
                <w:color w:val="000000"/>
                <w:kern w:val="0"/>
                <w:sz w:val="22"/>
                <w:szCs w:val="22"/>
              </w:rPr>
              <w:t>598.01</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r>
    </w:tbl>
    <w:p>
      <w:pPr>
        <w:widowControl/>
        <w:ind w:firstLine="960" w:firstLineChars="300"/>
        <w:outlineLvl w:val="1"/>
        <w:rPr>
          <w:rFonts w:ascii="黑体" w:hAnsi="宋体" w:eastAsia="黑体"/>
          <w:b/>
          <w:kern w:val="0"/>
          <w:sz w:val="32"/>
          <w:szCs w:val="32"/>
        </w:rPr>
      </w:pPr>
      <w:r>
        <w:rPr>
          <w:rFonts w:hint="eastAsia" w:ascii="黑体" w:hAnsi="宋体" w:eastAsia="黑体"/>
          <w:b/>
          <w:kern w:val="0"/>
          <w:sz w:val="32"/>
          <w:szCs w:val="32"/>
        </w:rPr>
        <w:t>三、一般公共预算财政拨款支出表</w:t>
      </w:r>
    </w:p>
    <w:p>
      <w:pPr>
        <w:widowControl/>
        <w:ind w:firstLine="720"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一般公共预算财政拨款支出表</w:t>
      </w:r>
    </w:p>
    <w:p>
      <w:pPr>
        <w:widowControl/>
        <w:ind w:firstLine="735"/>
        <w:jc w:val="left"/>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W w:w="13510" w:type="dxa"/>
        <w:tblInd w:w="91" w:type="dxa"/>
        <w:tblLayout w:type="fixed"/>
        <w:tblCellMar>
          <w:top w:w="0" w:type="dxa"/>
          <w:left w:w="108" w:type="dxa"/>
          <w:bottom w:w="0" w:type="dxa"/>
          <w:right w:w="108" w:type="dxa"/>
        </w:tblCellMar>
      </w:tblPr>
      <w:tblGrid>
        <w:gridCol w:w="1637"/>
        <w:gridCol w:w="1980"/>
        <w:gridCol w:w="1779"/>
        <w:gridCol w:w="1620"/>
        <w:gridCol w:w="1800"/>
        <w:gridCol w:w="1980"/>
        <w:gridCol w:w="236"/>
        <w:gridCol w:w="1024"/>
        <w:gridCol w:w="1454"/>
      </w:tblGrid>
      <w:tr>
        <w:tblPrEx>
          <w:tblCellMar>
            <w:top w:w="0" w:type="dxa"/>
            <w:left w:w="108" w:type="dxa"/>
            <w:bottom w:w="0" w:type="dxa"/>
            <w:right w:w="108" w:type="dxa"/>
          </w:tblCellMar>
        </w:tblPrEx>
        <w:trPr>
          <w:trHeight w:val="555" w:hRule="atLeast"/>
        </w:trPr>
        <w:tc>
          <w:tcPr>
            <w:tcW w:w="361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功能分类科目</w:t>
            </w:r>
          </w:p>
        </w:tc>
        <w:tc>
          <w:tcPr>
            <w:tcW w:w="1779" w:type="dxa"/>
            <w:vMerge w:val="restart"/>
            <w:tcBorders>
              <w:top w:val="single" w:color="auto" w:sz="4" w:space="0"/>
              <w:left w:val="nil"/>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2019年执行数（决算数）</w:t>
            </w:r>
          </w:p>
          <w:p>
            <w:pPr>
              <w:jc w:val="center"/>
              <w:rPr>
                <w:rFonts w:ascii="宋体" w:hAnsi="宋体" w:cs="宋体"/>
                <w:b/>
                <w:bCs/>
                <w:kern w:val="0"/>
                <w:sz w:val="22"/>
                <w:szCs w:val="22"/>
              </w:rPr>
            </w:pPr>
          </w:p>
        </w:tc>
        <w:tc>
          <w:tcPr>
            <w:tcW w:w="5400"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2020年预算数</w:t>
            </w:r>
          </w:p>
        </w:tc>
        <w:tc>
          <w:tcPr>
            <w:tcW w:w="2714" w:type="dxa"/>
            <w:gridSpan w:val="3"/>
            <w:tcBorders>
              <w:top w:val="single" w:color="auto" w:sz="4" w:space="0"/>
              <w:bottom w:val="single" w:color="auto" w:sz="4" w:space="0"/>
              <w:right w:val="single" w:color="auto" w:sz="4" w:space="0"/>
            </w:tcBorders>
            <w:vAlign w:val="center"/>
          </w:tcPr>
          <w:p>
            <w:pPr>
              <w:widowControl/>
              <w:jc w:val="center"/>
              <w:rPr>
                <w:kern w:val="0"/>
                <w:sz w:val="20"/>
                <w:szCs w:val="20"/>
              </w:rPr>
            </w:pPr>
            <w:r>
              <w:rPr>
                <w:rFonts w:hint="eastAsia" w:ascii="宋体" w:hAnsi="宋体" w:cs="宋体"/>
                <w:b/>
                <w:bCs/>
                <w:kern w:val="0"/>
                <w:sz w:val="22"/>
                <w:szCs w:val="22"/>
              </w:rPr>
              <w:t>2020年预算数与2019年执行数（决算数）</w:t>
            </w:r>
          </w:p>
        </w:tc>
      </w:tr>
      <w:tr>
        <w:tblPrEx>
          <w:tblCellMar>
            <w:top w:w="0" w:type="dxa"/>
            <w:left w:w="108" w:type="dxa"/>
            <w:bottom w:w="0" w:type="dxa"/>
            <w:right w:w="108" w:type="dxa"/>
          </w:tblCellMar>
        </w:tblPrEx>
        <w:trPr>
          <w:trHeight w:val="1125" w:hRule="atLeast"/>
        </w:trPr>
        <w:tc>
          <w:tcPr>
            <w:tcW w:w="163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198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1779" w:type="dxa"/>
            <w:vMerge w:val="continue"/>
            <w:tcBorders>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62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180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基本支出</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项目支出</w:t>
            </w:r>
          </w:p>
        </w:tc>
        <w:tc>
          <w:tcPr>
            <w:tcW w:w="236" w:type="dxa"/>
            <w:tcBorders>
              <w:top w:val="single" w:color="auto" w:sz="4" w:space="0"/>
              <w:bottom w:val="single" w:color="auto" w:sz="4" w:space="0"/>
            </w:tcBorders>
            <w:vAlign w:val="center"/>
          </w:tcPr>
          <w:p>
            <w:pPr>
              <w:widowControl/>
              <w:jc w:val="left"/>
              <w:rPr>
                <w:kern w:val="0"/>
                <w:sz w:val="20"/>
                <w:szCs w:val="20"/>
              </w:rPr>
            </w:pPr>
          </w:p>
        </w:tc>
        <w:tc>
          <w:tcPr>
            <w:tcW w:w="1024" w:type="dxa"/>
            <w:tcBorders>
              <w:top w:val="single" w:color="auto" w:sz="4" w:space="0"/>
              <w:bottom w:val="single" w:color="auto" w:sz="4" w:space="0"/>
              <w:right w:val="single" w:color="auto" w:sz="4" w:space="0"/>
            </w:tcBorders>
            <w:vAlign w:val="center"/>
          </w:tcPr>
          <w:p>
            <w:pPr>
              <w:widowControl/>
              <w:rPr>
                <w:rFonts w:ascii="宋体" w:hAnsi="宋体" w:cs="宋体"/>
                <w:b/>
                <w:bCs/>
                <w:kern w:val="0"/>
                <w:sz w:val="22"/>
                <w:szCs w:val="22"/>
              </w:rPr>
            </w:pPr>
            <w:r>
              <w:rPr>
                <w:rFonts w:hint="eastAsia" w:ascii="宋体" w:hAnsi="宋体" w:cs="宋体"/>
                <w:b/>
                <w:bCs/>
                <w:kern w:val="0"/>
                <w:sz w:val="22"/>
                <w:szCs w:val="22"/>
              </w:rPr>
              <w:t>增减额</w:t>
            </w:r>
          </w:p>
        </w:tc>
        <w:tc>
          <w:tcPr>
            <w:tcW w:w="1454" w:type="dxa"/>
            <w:tcBorders>
              <w:top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增减%</w:t>
            </w:r>
          </w:p>
        </w:tc>
      </w:tr>
      <w:tr>
        <w:tblPrEx>
          <w:tblCellMar>
            <w:top w:w="0" w:type="dxa"/>
            <w:left w:w="108" w:type="dxa"/>
            <w:bottom w:w="0" w:type="dxa"/>
            <w:right w:w="108" w:type="dxa"/>
          </w:tblCellMar>
        </w:tblPrEx>
        <w:trPr>
          <w:trHeight w:val="555" w:hRule="atLeast"/>
        </w:trPr>
        <w:tc>
          <w:tcPr>
            <w:tcW w:w="163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2050202</w:t>
            </w:r>
          </w:p>
        </w:tc>
        <w:tc>
          <w:tcPr>
            <w:tcW w:w="1980" w:type="dxa"/>
            <w:tcBorders>
              <w:top w:val="nil"/>
              <w:left w:val="nil"/>
              <w:bottom w:val="single" w:color="auto" w:sz="4" w:space="0"/>
              <w:right w:val="single" w:color="auto" w:sz="4" w:space="0"/>
            </w:tcBorders>
            <w:vAlign w:val="center"/>
          </w:tcPr>
          <w:p>
            <w:pPr>
              <w:widowControl/>
              <w:rPr>
                <w:rFonts w:ascii="宋体" w:hAnsi="宋体" w:cs="宋体"/>
                <w:kern w:val="0"/>
                <w:sz w:val="20"/>
                <w:szCs w:val="20"/>
              </w:rPr>
            </w:pPr>
            <w:r>
              <w:rPr>
                <w:rFonts w:hint="eastAsia" w:ascii="宋体" w:hAnsi="宋体" w:cs="宋体"/>
                <w:kern w:val="0"/>
                <w:sz w:val="20"/>
                <w:szCs w:val="20"/>
              </w:rPr>
              <w:t>小学教育</w:t>
            </w:r>
          </w:p>
        </w:tc>
        <w:tc>
          <w:tcPr>
            <w:tcW w:w="1779"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451.03</w:t>
            </w:r>
          </w:p>
        </w:tc>
        <w:tc>
          <w:tcPr>
            <w:tcW w:w="1620"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Arial"/>
                <w:color w:val="000000"/>
                <w:kern w:val="0"/>
                <w:sz w:val="22"/>
                <w:szCs w:val="22"/>
              </w:rPr>
              <w:t>435.57</w:t>
            </w:r>
            <w:r>
              <w:rPr>
                <w:rFonts w:hint="eastAsia" w:ascii="宋体" w:hAnsi="宋体" w:cs="宋体"/>
                <w:color w:val="000000"/>
                <w:kern w:val="0"/>
                <w:sz w:val="20"/>
                <w:szCs w:val="20"/>
              </w:rPr>
              <w:t>　</w:t>
            </w:r>
          </w:p>
        </w:tc>
        <w:tc>
          <w:tcPr>
            <w:tcW w:w="180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432.55</w:t>
            </w:r>
          </w:p>
        </w:tc>
        <w:tc>
          <w:tcPr>
            <w:tcW w:w="198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3.02</w:t>
            </w:r>
          </w:p>
        </w:tc>
        <w:tc>
          <w:tcPr>
            <w:tcW w:w="1260" w:type="dxa"/>
            <w:gridSpan w:val="2"/>
            <w:tcBorders>
              <w:bottom w:val="single" w:color="auto" w:sz="4" w:space="0"/>
              <w:right w:val="single" w:color="auto" w:sz="4" w:space="0"/>
            </w:tcBorders>
          </w:tcPr>
          <w:p>
            <w:pPr>
              <w:widowControl/>
              <w:jc w:val="center"/>
              <w:rPr>
                <w:kern w:val="0"/>
                <w:sz w:val="20"/>
                <w:szCs w:val="20"/>
              </w:rPr>
            </w:pPr>
            <w:r>
              <w:rPr>
                <w:rFonts w:hint="eastAsia"/>
                <w:kern w:val="0"/>
                <w:sz w:val="20"/>
                <w:szCs w:val="20"/>
              </w:rPr>
              <w:t>-15.46</w:t>
            </w:r>
          </w:p>
        </w:tc>
        <w:tc>
          <w:tcPr>
            <w:tcW w:w="1454" w:type="dxa"/>
            <w:tcBorders>
              <w:top w:val="single" w:color="auto" w:sz="4" w:space="0"/>
              <w:bottom w:val="single" w:color="auto" w:sz="4" w:space="0"/>
              <w:right w:val="single" w:color="auto" w:sz="4" w:space="0"/>
            </w:tcBorders>
          </w:tcPr>
          <w:p>
            <w:pPr>
              <w:widowControl/>
              <w:jc w:val="center"/>
              <w:rPr>
                <w:kern w:val="0"/>
                <w:sz w:val="20"/>
                <w:szCs w:val="20"/>
              </w:rPr>
            </w:pPr>
            <w:r>
              <w:rPr>
                <w:rFonts w:hint="eastAsia"/>
                <w:kern w:val="0"/>
                <w:sz w:val="20"/>
                <w:szCs w:val="20"/>
              </w:rPr>
              <w:t>-3.42</w:t>
            </w:r>
          </w:p>
        </w:tc>
      </w:tr>
      <w:tr>
        <w:tblPrEx>
          <w:tblCellMar>
            <w:top w:w="0" w:type="dxa"/>
            <w:left w:w="108" w:type="dxa"/>
            <w:bottom w:w="0" w:type="dxa"/>
            <w:right w:w="108" w:type="dxa"/>
          </w:tblCellMar>
        </w:tblPrEx>
        <w:trPr>
          <w:trHeight w:val="605" w:hRule="atLeast"/>
        </w:trPr>
        <w:tc>
          <w:tcPr>
            <w:tcW w:w="163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color w:val="000000"/>
                <w:kern w:val="0"/>
                <w:sz w:val="20"/>
                <w:szCs w:val="20"/>
              </w:rPr>
              <w:t>2080502</w:t>
            </w:r>
          </w:p>
        </w:tc>
        <w:tc>
          <w:tcPr>
            <w:tcW w:w="19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color w:val="000000"/>
                <w:kern w:val="0"/>
                <w:sz w:val="20"/>
                <w:szCs w:val="20"/>
              </w:rPr>
              <w:t>事业单位离退休</w:t>
            </w:r>
          </w:p>
        </w:tc>
        <w:tc>
          <w:tcPr>
            <w:tcW w:w="1779"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5.40</w:t>
            </w:r>
          </w:p>
        </w:tc>
        <w:tc>
          <w:tcPr>
            <w:tcW w:w="1620"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5.40　</w:t>
            </w:r>
          </w:p>
        </w:tc>
        <w:tc>
          <w:tcPr>
            <w:tcW w:w="18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5.40</w:t>
            </w:r>
          </w:p>
        </w:tc>
        <w:tc>
          <w:tcPr>
            <w:tcW w:w="1980"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60" w:type="dxa"/>
            <w:gridSpan w:val="2"/>
            <w:tcBorders>
              <w:top w:val="single" w:color="auto" w:sz="4" w:space="0"/>
              <w:bottom w:val="single" w:color="auto" w:sz="4" w:space="0"/>
              <w:right w:val="single" w:color="auto" w:sz="4" w:space="0"/>
            </w:tcBorders>
          </w:tcPr>
          <w:p>
            <w:pPr>
              <w:widowControl/>
              <w:jc w:val="center"/>
              <w:rPr>
                <w:kern w:val="0"/>
                <w:sz w:val="20"/>
                <w:szCs w:val="20"/>
              </w:rPr>
            </w:pPr>
            <w:r>
              <w:rPr>
                <w:rFonts w:hint="eastAsia"/>
                <w:kern w:val="0"/>
                <w:sz w:val="20"/>
                <w:szCs w:val="20"/>
              </w:rPr>
              <w:t>0</w:t>
            </w:r>
          </w:p>
        </w:tc>
        <w:tc>
          <w:tcPr>
            <w:tcW w:w="1454" w:type="dxa"/>
            <w:tcBorders>
              <w:top w:val="single" w:color="auto" w:sz="4" w:space="0"/>
              <w:bottom w:val="single" w:color="auto" w:sz="4" w:space="0"/>
              <w:right w:val="single" w:color="auto" w:sz="4" w:space="0"/>
            </w:tcBorders>
          </w:tcPr>
          <w:p>
            <w:pPr>
              <w:widowControl/>
              <w:jc w:val="center"/>
              <w:rPr>
                <w:kern w:val="0"/>
                <w:sz w:val="20"/>
                <w:szCs w:val="20"/>
              </w:rPr>
            </w:pPr>
            <w:r>
              <w:rPr>
                <w:rFonts w:hint="eastAsia"/>
                <w:kern w:val="0"/>
                <w:sz w:val="20"/>
                <w:szCs w:val="20"/>
              </w:rPr>
              <w:t>0</w:t>
            </w:r>
          </w:p>
        </w:tc>
      </w:tr>
      <w:tr>
        <w:tblPrEx>
          <w:tblCellMar>
            <w:top w:w="0" w:type="dxa"/>
            <w:left w:w="108" w:type="dxa"/>
            <w:bottom w:w="0" w:type="dxa"/>
            <w:right w:w="108" w:type="dxa"/>
          </w:tblCellMar>
        </w:tblPrEx>
        <w:trPr>
          <w:trHeight w:val="613" w:hRule="atLeast"/>
        </w:trPr>
        <w:tc>
          <w:tcPr>
            <w:tcW w:w="163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color w:val="000000"/>
                <w:kern w:val="0"/>
                <w:sz w:val="20"/>
                <w:szCs w:val="20"/>
              </w:rPr>
              <w:t>2080505</w:t>
            </w:r>
          </w:p>
        </w:tc>
        <w:tc>
          <w:tcPr>
            <w:tcW w:w="19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color w:val="000000"/>
                <w:kern w:val="0"/>
                <w:sz w:val="20"/>
                <w:szCs w:val="20"/>
              </w:rPr>
              <w:t>机关事业单位基本养老保险缴费支出</w:t>
            </w:r>
          </w:p>
        </w:tc>
        <w:tc>
          <w:tcPr>
            <w:tcW w:w="1779"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60.78</w:t>
            </w:r>
          </w:p>
        </w:tc>
        <w:tc>
          <w:tcPr>
            <w:tcW w:w="1620"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64.94　</w:t>
            </w:r>
          </w:p>
        </w:tc>
        <w:tc>
          <w:tcPr>
            <w:tcW w:w="18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64.94</w:t>
            </w:r>
          </w:p>
        </w:tc>
        <w:tc>
          <w:tcPr>
            <w:tcW w:w="1980"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60" w:type="dxa"/>
            <w:gridSpan w:val="2"/>
            <w:tcBorders>
              <w:top w:val="single" w:color="auto" w:sz="4" w:space="0"/>
              <w:bottom w:val="single" w:color="auto" w:sz="4" w:space="0"/>
              <w:right w:val="single" w:color="auto" w:sz="4" w:space="0"/>
            </w:tcBorders>
          </w:tcPr>
          <w:p>
            <w:pPr>
              <w:widowControl/>
              <w:jc w:val="center"/>
              <w:rPr>
                <w:kern w:val="0"/>
                <w:sz w:val="20"/>
                <w:szCs w:val="20"/>
              </w:rPr>
            </w:pPr>
            <w:r>
              <w:rPr>
                <w:rFonts w:hint="eastAsia"/>
                <w:kern w:val="0"/>
                <w:sz w:val="20"/>
                <w:szCs w:val="20"/>
              </w:rPr>
              <w:t>4.16</w:t>
            </w:r>
          </w:p>
        </w:tc>
        <w:tc>
          <w:tcPr>
            <w:tcW w:w="1454" w:type="dxa"/>
            <w:tcBorders>
              <w:top w:val="single" w:color="auto" w:sz="4" w:space="0"/>
              <w:bottom w:val="single" w:color="auto" w:sz="4" w:space="0"/>
              <w:right w:val="single" w:color="auto" w:sz="4" w:space="0"/>
            </w:tcBorders>
          </w:tcPr>
          <w:p>
            <w:pPr>
              <w:widowControl/>
              <w:jc w:val="center"/>
              <w:rPr>
                <w:kern w:val="0"/>
                <w:sz w:val="20"/>
                <w:szCs w:val="20"/>
              </w:rPr>
            </w:pPr>
            <w:r>
              <w:rPr>
                <w:rFonts w:hint="eastAsia"/>
                <w:kern w:val="0"/>
                <w:sz w:val="20"/>
                <w:szCs w:val="20"/>
              </w:rPr>
              <w:t>6.8</w:t>
            </w:r>
          </w:p>
        </w:tc>
      </w:tr>
      <w:tr>
        <w:tblPrEx>
          <w:tblCellMar>
            <w:top w:w="0" w:type="dxa"/>
            <w:left w:w="108" w:type="dxa"/>
            <w:bottom w:w="0" w:type="dxa"/>
            <w:right w:w="108" w:type="dxa"/>
          </w:tblCellMar>
        </w:tblPrEx>
        <w:trPr>
          <w:trHeight w:val="621" w:hRule="atLeast"/>
        </w:trPr>
        <w:tc>
          <w:tcPr>
            <w:tcW w:w="163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color w:val="000000"/>
                <w:kern w:val="0"/>
                <w:sz w:val="20"/>
                <w:szCs w:val="20"/>
              </w:rPr>
              <w:t>2080506</w:t>
            </w:r>
          </w:p>
        </w:tc>
        <w:tc>
          <w:tcPr>
            <w:tcW w:w="19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color w:val="000000"/>
                <w:kern w:val="0"/>
                <w:sz w:val="20"/>
                <w:szCs w:val="20"/>
              </w:rPr>
              <w:t>机关事业单位职业年金缴费支出</w:t>
            </w:r>
          </w:p>
        </w:tc>
        <w:tc>
          <w:tcPr>
            <w:tcW w:w="1779"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0.20</w:t>
            </w:r>
          </w:p>
        </w:tc>
        <w:tc>
          <w:tcPr>
            <w:tcW w:w="1620"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25.98　</w:t>
            </w:r>
          </w:p>
        </w:tc>
        <w:tc>
          <w:tcPr>
            <w:tcW w:w="18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25.98</w:t>
            </w:r>
          </w:p>
        </w:tc>
        <w:tc>
          <w:tcPr>
            <w:tcW w:w="1980"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60" w:type="dxa"/>
            <w:gridSpan w:val="2"/>
            <w:tcBorders>
              <w:top w:val="single" w:color="auto" w:sz="4" w:space="0"/>
              <w:bottom w:val="single" w:color="auto" w:sz="4" w:space="0"/>
              <w:right w:val="single" w:color="auto" w:sz="4" w:space="0"/>
            </w:tcBorders>
          </w:tcPr>
          <w:p>
            <w:pPr>
              <w:widowControl/>
              <w:jc w:val="center"/>
              <w:rPr>
                <w:kern w:val="0"/>
                <w:sz w:val="20"/>
                <w:szCs w:val="20"/>
              </w:rPr>
            </w:pPr>
            <w:r>
              <w:rPr>
                <w:rFonts w:hint="eastAsia"/>
                <w:kern w:val="0"/>
                <w:sz w:val="20"/>
                <w:szCs w:val="20"/>
              </w:rPr>
              <w:t>25.78</w:t>
            </w:r>
          </w:p>
        </w:tc>
        <w:tc>
          <w:tcPr>
            <w:tcW w:w="1454" w:type="dxa"/>
            <w:tcBorders>
              <w:top w:val="single" w:color="auto" w:sz="4" w:space="0"/>
              <w:bottom w:val="single" w:color="auto" w:sz="4" w:space="0"/>
              <w:right w:val="single" w:color="auto" w:sz="4" w:space="0"/>
            </w:tcBorders>
          </w:tcPr>
          <w:p>
            <w:pPr>
              <w:widowControl/>
              <w:jc w:val="center"/>
              <w:rPr>
                <w:kern w:val="0"/>
                <w:sz w:val="20"/>
                <w:szCs w:val="20"/>
              </w:rPr>
            </w:pPr>
            <w:r>
              <w:rPr>
                <w:rFonts w:hint="eastAsia"/>
                <w:kern w:val="0"/>
                <w:sz w:val="20"/>
                <w:szCs w:val="20"/>
              </w:rPr>
              <w:t>12890</w:t>
            </w:r>
          </w:p>
        </w:tc>
      </w:tr>
      <w:tr>
        <w:tblPrEx>
          <w:tblCellMar>
            <w:top w:w="0" w:type="dxa"/>
            <w:left w:w="108" w:type="dxa"/>
            <w:bottom w:w="0" w:type="dxa"/>
            <w:right w:w="108" w:type="dxa"/>
          </w:tblCellMar>
        </w:tblPrEx>
        <w:trPr>
          <w:trHeight w:val="614" w:hRule="atLeast"/>
        </w:trPr>
        <w:tc>
          <w:tcPr>
            <w:tcW w:w="163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color w:val="000000"/>
                <w:kern w:val="0"/>
                <w:sz w:val="20"/>
                <w:szCs w:val="20"/>
              </w:rPr>
              <w:t>2101102</w:t>
            </w:r>
          </w:p>
        </w:tc>
        <w:tc>
          <w:tcPr>
            <w:tcW w:w="19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color w:val="000000"/>
                <w:kern w:val="0"/>
                <w:sz w:val="20"/>
                <w:szCs w:val="20"/>
              </w:rPr>
              <w:t>事业单位医疗</w:t>
            </w:r>
          </w:p>
        </w:tc>
        <w:tc>
          <w:tcPr>
            <w:tcW w:w="1779"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23.07</w:t>
            </w:r>
          </w:p>
        </w:tc>
        <w:tc>
          <w:tcPr>
            <w:tcW w:w="1620"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25.98</w:t>
            </w:r>
          </w:p>
        </w:tc>
        <w:tc>
          <w:tcPr>
            <w:tcW w:w="18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25.98</w:t>
            </w:r>
          </w:p>
        </w:tc>
        <w:tc>
          <w:tcPr>
            <w:tcW w:w="1980"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260" w:type="dxa"/>
            <w:gridSpan w:val="2"/>
            <w:tcBorders>
              <w:top w:val="single" w:color="auto" w:sz="4" w:space="0"/>
              <w:bottom w:val="single" w:color="auto" w:sz="4" w:space="0"/>
              <w:right w:val="single" w:color="auto" w:sz="4" w:space="0"/>
            </w:tcBorders>
          </w:tcPr>
          <w:p>
            <w:pPr>
              <w:widowControl/>
              <w:jc w:val="center"/>
              <w:rPr>
                <w:kern w:val="0"/>
                <w:sz w:val="20"/>
                <w:szCs w:val="20"/>
              </w:rPr>
            </w:pPr>
            <w:r>
              <w:rPr>
                <w:rFonts w:hint="eastAsia"/>
                <w:kern w:val="0"/>
                <w:sz w:val="20"/>
                <w:szCs w:val="20"/>
              </w:rPr>
              <w:t>2.91</w:t>
            </w:r>
          </w:p>
        </w:tc>
        <w:tc>
          <w:tcPr>
            <w:tcW w:w="1454" w:type="dxa"/>
            <w:tcBorders>
              <w:top w:val="single" w:color="auto" w:sz="4" w:space="0"/>
              <w:bottom w:val="single" w:color="auto" w:sz="4" w:space="0"/>
              <w:right w:val="single" w:color="auto" w:sz="4" w:space="0"/>
            </w:tcBorders>
          </w:tcPr>
          <w:p>
            <w:pPr>
              <w:widowControl/>
              <w:jc w:val="center"/>
              <w:rPr>
                <w:kern w:val="0"/>
                <w:sz w:val="20"/>
                <w:szCs w:val="20"/>
              </w:rPr>
            </w:pPr>
            <w:r>
              <w:rPr>
                <w:rFonts w:hint="eastAsia"/>
                <w:kern w:val="0"/>
                <w:sz w:val="20"/>
                <w:szCs w:val="20"/>
              </w:rPr>
              <w:t>12.61</w:t>
            </w:r>
          </w:p>
        </w:tc>
      </w:tr>
      <w:tr>
        <w:tblPrEx>
          <w:tblCellMar>
            <w:top w:w="0" w:type="dxa"/>
            <w:left w:w="108" w:type="dxa"/>
            <w:bottom w:w="0" w:type="dxa"/>
            <w:right w:w="108" w:type="dxa"/>
          </w:tblCellMar>
        </w:tblPrEx>
        <w:trPr>
          <w:trHeight w:val="608" w:hRule="atLeast"/>
        </w:trPr>
        <w:tc>
          <w:tcPr>
            <w:tcW w:w="163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color w:val="000000"/>
                <w:kern w:val="0"/>
                <w:sz w:val="20"/>
                <w:szCs w:val="20"/>
              </w:rPr>
              <w:t>2210201</w:t>
            </w:r>
          </w:p>
        </w:tc>
        <w:tc>
          <w:tcPr>
            <w:tcW w:w="19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color w:val="000000"/>
                <w:kern w:val="0"/>
                <w:sz w:val="20"/>
                <w:szCs w:val="20"/>
              </w:rPr>
              <w:t>住房公积金</w:t>
            </w:r>
          </w:p>
        </w:tc>
        <w:tc>
          <w:tcPr>
            <w:tcW w:w="1779"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36.91</w:t>
            </w:r>
          </w:p>
        </w:tc>
        <w:tc>
          <w:tcPr>
            <w:tcW w:w="1620"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40.14　</w:t>
            </w:r>
          </w:p>
        </w:tc>
        <w:tc>
          <w:tcPr>
            <w:tcW w:w="180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40.14</w:t>
            </w:r>
          </w:p>
        </w:tc>
        <w:tc>
          <w:tcPr>
            <w:tcW w:w="1980"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60" w:type="dxa"/>
            <w:gridSpan w:val="2"/>
            <w:tcBorders>
              <w:top w:val="single" w:color="auto" w:sz="4" w:space="0"/>
              <w:bottom w:val="single" w:color="auto" w:sz="4" w:space="0"/>
              <w:right w:val="single" w:color="auto" w:sz="4" w:space="0"/>
            </w:tcBorders>
          </w:tcPr>
          <w:p>
            <w:pPr>
              <w:widowControl/>
              <w:jc w:val="center"/>
              <w:rPr>
                <w:kern w:val="0"/>
                <w:sz w:val="20"/>
                <w:szCs w:val="20"/>
              </w:rPr>
            </w:pPr>
            <w:r>
              <w:rPr>
                <w:rFonts w:hint="eastAsia"/>
                <w:kern w:val="0"/>
                <w:sz w:val="20"/>
                <w:szCs w:val="20"/>
              </w:rPr>
              <w:t>3.23</w:t>
            </w:r>
          </w:p>
        </w:tc>
        <w:tc>
          <w:tcPr>
            <w:tcW w:w="1454" w:type="dxa"/>
            <w:tcBorders>
              <w:top w:val="single" w:color="auto" w:sz="4" w:space="0"/>
              <w:bottom w:val="single" w:color="auto" w:sz="4" w:space="0"/>
              <w:right w:val="single" w:color="auto" w:sz="4" w:space="0"/>
            </w:tcBorders>
          </w:tcPr>
          <w:p>
            <w:pPr>
              <w:widowControl/>
              <w:jc w:val="center"/>
              <w:rPr>
                <w:kern w:val="0"/>
                <w:sz w:val="20"/>
                <w:szCs w:val="20"/>
              </w:rPr>
            </w:pPr>
            <w:r>
              <w:rPr>
                <w:rFonts w:hint="eastAsia"/>
                <w:kern w:val="0"/>
                <w:sz w:val="20"/>
                <w:szCs w:val="20"/>
              </w:rPr>
              <w:t>8.75</w:t>
            </w:r>
          </w:p>
        </w:tc>
      </w:tr>
      <w:tr>
        <w:tblPrEx>
          <w:tblCellMar>
            <w:top w:w="0" w:type="dxa"/>
            <w:left w:w="108" w:type="dxa"/>
            <w:bottom w:w="0" w:type="dxa"/>
            <w:right w:w="108" w:type="dxa"/>
          </w:tblCellMar>
        </w:tblPrEx>
        <w:trPr>
          <w:trHeight w:val="603" w:hRule="atLeast"/>
        </w:trPr>
        <w:tc>
          <w:tcPr>
            <w:tcW w:w="163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9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合计　</w:t>
            </w:r>
          </w:p>
        </w:tc>
        <w:tc>
          <w:tcPr>
            <w:tcW w:w="1779"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620"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Arial"/>
                <w:color w:val="000000"/>
                <w:kern w:val="0"/>
                <w:sz w:val="22"/>
                <w:szCs w:val="22"/>
              </w:rPr>
              <w:t>598.01</w:t>
            </w:r>
          </w:p>
        </w:tc>
        <w:tc>
          <w:tcPr>
            <w:tcW w:w="180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594.99</w:t>
            </w:r>
          </w:p>
        </w:tc>
        <w:tc>
          <w:tcPr>
            <w:tcW w:w="198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3.02</w:t>
            </w:r>
          </w:p>
        </w:tc>
        <w:tc>
          <w:tcPr>
            <w:tcW w:w="1260" w:type="dxa"/>
            <w:gridSpan w:val="2"/>
            <w:tcBorders>
              <w:top w:val="single" w:color="auto" w:sz="4" w:space="0"/>
              <w:bottom w:val="single" w:color="auto" w:sz="4" w:space="0"/>
              <w:right w:val="single" w:color="auto" w:sz="4" w:space="0"/>
            </w:tcBorders>
          </w:tcPr>
          <w:p>
            <w:pPr>
              <w:widowControl/>
              <w:jc w:val="left"/>
              <w:rPr>
                <w:kern w:val="0"/>
                <w:sz w:val="20"/>
                <w:szCs w:val="20"/>
              </w:rPr>
            </w:pPr>
          </w:p>
        </w:tc>
        <w:tc>
          <w:tcPr>
            <w:tcW w:w="1454" w:type="dxa"/>
            <w:tcBorders>
              <w:top w:val="single" w:color="auto" w:sz="4" w:space="0"/>
              <w:bottom w:val="single" w:color="auto" w:sz="4" w:space="0"/>
              <w:right w:val="single" w:color="auto" w:sz="4" w:space="0"/>
            </w:tcBorders>
          </w:tcPr>
          <w:p>
            <w:pPr>
              <w:widowControl/>
              <w:jc w:val="left"/>
              <w:rPr>
                <w:kern w:val="0"/>
                <w:sz w:val="20"/>
                <w:szCs w:val="20"/>
              </w:rPr>
            </w:pPr>
          </w:p>
        </w:tc>
      </w:tr>
    </w:tbl>
    <w:p>
      <w:pPr>
        <w:widowControl/>
        <w:spacing w:line="520" w:lineRule="exact"/>
        <w:ind w:firstLine="640" w:firstLineChars="200"/>
        <w:outlineLvl w:val="1"/>
        <w:rPr>
          <w:rFonts w:ascii="黑体" w:hAnsi="宋体" w:eastAsia="黑体"/>
          <w:b/>
          <w:kern w:val="0"/>
          <w:sz w:val="32"/>
          <w:szCs w:val="32"/>
        </w:rPr>
      </w:pPr>
    </w:p>
    <w:p>
      <w:pPr>
        <w:widowControl/>
        <w:spacing w:line="520" w:lineRule="exact"/>
        <w:ind w:firstLine="640" w:firstLineChars="200"/>
        <w:outlineLvl w:val="1"/>
        <w:rPr>
          <w:rFonts w:ascii="黑体" w:hAnsi="宋体" w:eastAsia="黑体"/>
          <w:b/>
          <w:kern w:val="0"/>
          <w:sz w:val="32"/>
          <w:szCs w:val="32"/>
        </w:rPr>
      </w:pPr>
      <w:r>
        <w:rPr>
          <w:rFonts w:hint="eastAsia" w:ascii="黑体" w:hAnsi="宋体" w:eastAsia="黑体"/>
          <w:b/>
          <w:kern w:val="0"/>
          <w:sz w:val="32"/>
          <w:szCs w:val="32"/>
        </w:rPr>
        <w:t>四、一般公共预算财政拨款基本支出表</w:t>
      </w:r>
    </w:p>
    <w:p>
      <w:pPr>
        <w:widowControl/>
        <w:spacing w:line="520" w:lineRule="exact"/>
        <w:ind w:firstLine="720"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一般公共预算财政拨款基本支出表</w:t>
      </w:r>
    </w:p>
    <w:p>
      <w:pPr>
        <w:widowControl/>
        <w:spacing w:line="520" w:lineRule="exact"/>
        <w:ind w:firstLine="735"/>
        <w:jc w:val="left"/>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pPr w:leftFromText="180" w:rightFromText="180" w:vertAnchor="text" w:tblpY="1"/>
        <w:tblOverlap w:val="never"/>
        <w:tblW w:w="13517" w:type="dxa"/>
        <w:tblInd w:w="0" w:type="dxa"/>
        <w:tblLayout w:type="fixed"/>
        <w:tblCellMar>
          <w:top w:w="0" w:type="dxa"/>
          <w:left w:w="108" w:type="dxa"/>
          <w:bottom w:w="0" w:type="dxa"/>
          <w:right w:w="108" w:type="dxa"/>
        </w:tblCellMar>
      </w:tblPr>
      <w:tblGrid>
        <w:gridCol w:w="2357"/>
        <w:gridCol w:w="3600"/>
        <w:gridCol w:w="2520"/>
        <w:gridCol w:w="2700"/>
        <w:gridCol w:w="2340"/>
      </w:tblGrid>
      <w:tr>
        <w:tblPrEx>
          <w:tblCellMar>
            <w:top w:w="0" w:type="dxa"/>
            <w:left w:w="108" w:type="dxa"/>
            <w:bottom w:w="0" w:type="dxa"/>
            <w:right w:w="108" w:type="dxa"/>
          </w:tblCellMar>
        </w:tblPrEx>
        <w:trPr>
          <w:trHeight w:val="397" w:hRule="atLeast"/>
          <w:tblHeader/>
        </w:trPr>
        <w:tc>
          <w:tcPr>
            <w:tcW w:w="595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 w:val="22"/>
                <w:szCs w:val="22"/>
              </w:rPr>
            </w:pPr>
            <w:r>
              <w:rPr>
                <w:rFonts w:hint="eastAsia" w:ascii="宋体" w:hAnsi="宋体"/>
                <w:b/>
                <w:bCs/>
                <w:sz w:val="22"/>
                <w:szCs w:val="22"/>
              </w:rPr>
              <w:t>经济科目</w:t>
            </w:r>
          </w:p>
        </w:tc>
        <w:tc>
          <w:tcPr>
            <w:tcW w:w="7560" w:type="dxa"/>
            <w:gridSpan w:val="3"/>
            <w:tcBorders>
              <w:top w:val="single" w:color="auto" w:sz="4" w:space="0"/>
              <w:left w:val="nil"/>
              <w:bottom w:val="single" w:color="auto" w:sz="4" w:space="0"/>
              <w:right w:val="single" w:color="auto" w:sz="4" w:space="0"/>
            </w:tcBorders>
            <w:vAlign w:val="center"/>
          </w:tcPr>
          <w:p>
            <w:pPr>
              <w:jc w:val="center"/>
              <w:rPr>
                <w:rFonts w:ascii="宋体" w:hAnsi="宋体" w:cs="宋体"/>
                <w:b/>
                <w:bCs/>
                <w:sz w:val="22"/>
                <w:szCs w:val="22"/>
              </w:rPr>
            </w:pPr>
            <w:r>
              <w:rPr>
                <w:rFonts w:hint="eastAsia" w:ascii="宋体" w:hAnsi="宋体"/>
                <w:b/>
                <w:bCs/>
                <w:sz w:val="22"/>
                <w:szCs w:val="22"/>
              </w:rPr>
              <w:t>基本支出预算</w:t>
            </w:r>
          </w:p>
        </w:tc>
      </w:tr>
      <w:tr>
        <w:tblPrEx>
          <w:tblCellMar>
            <w:top w:w="0" w:type="dxa"/>
            <w:left w:w="108" w:type="dxa"/>
            <w:bottom w:w="0" w:type="dxa"/>
            <w:right w:w="108" w:type="dxa"/>
          </w:tblCellMar>
        </w:tblPrEx>
        <w:trPr>
          <w:trHeight w:val="397" w:hRule="atLeast"/>
          <w:tblHeader/>
        </w:trPr>
        <w:tc>
          <w:tcPr>
            <w:tcW w:w="2357" w:type="dxa"/>
            <w:tcBorders>
              <w:top w:val="nil"/>
              <w:left w:val="single" w:color="auto" w:sz="4" w:space="0"/>
              <w:bottom w:val="single" w:color="auto" w:sz="4" w:space="0"/>
              <w:right w:val="single" w:color="auto" w:sz="4" w:space="0"/>
            </w:tcBorders>
            <w:vAlign w:val="center"/>
          </w:tcPr>
          <w:p>
            <w:pPr>
              <w:jc w:val="center"/>
              <w:rPr>
                <w:rFonts w:ascii="宋体" w:hAnsi="宋体" w:cs="宋体"/>
                <w:b/>
                <w:bCs/>
                <w:sz w:val="22"/>
                <w:szCs w:val="22"/>
              </w:rPr>
            </w:pPr>
            <w:r>
              <w:rPr>
                <w:rFonts w:hint="eastAsia"/>
                <w:b/>
                <w:bCs/>
                <w:sz w:val="22"/>
                <w:szCs w:val="22"/>
              </w:rPr>
              <w:t>科目编码</w:t>
            </w:r>
          </w:p>
        </w:tc>
        <w:tc>
          <w:tcPr>
            <w:tcW w:w="3600" w:type="dxa"/>
            <w:tcBorders>
              <w:top w:val="nil"/>
              <w:left w:val="nil"/>
              <w:bottom w:val="single" w:color="auto" w:sz="4" w:space="0"/>
              <w:right w:val="single" w:color="auto" w:sz="4" w:space="0"/>
            </w:tcBorders>
            <w:vAlign w:val="center"/>
          </w:tcPr>
          <w:p>
            <w:pPr>
              <w:jc w:val="center"/>
              <w:rPr>
                <w:rFonts w:ascii="宋体" w:hAnsi="宋体" w:cs="宋体"/>
                <w:b/>
                <w:bCs/>
                <w:sz w:val="22"/>
                <w:szCs w:val="22"/>
              </w:rPr>
            </w:pPr>
            <w:r>
              <w:rPr>
                <w:rFonts w:hint="eastAsia" w:ascii="宋体" w:hAnsi="宋体"/>
                <w:b/>
                <w:bCs/>
                <w:sz w:val="22"/>
                <w:szCs w:val="22"/>
              </w:rPr>
              <w:t>科目名称</w:t>
            </w:r>
          </w:p>
        </w:tc>
        <w:tc>
          <w:tcPr>
            <w:tcW w:w="2520" w:type="dxa"/>
            <w:tcBorders>
              <w:top w:val="nil"/>
              <w:left w:val="nil"/>
              <w:bottom w:val="single" w:color="auto" w:sz="4" w:space="0"/>
              <w:right w:val="single" w:color="auto" w:sz="4" w:space="0"/>
            </w:tcBorders>
            <w:vAlign w:val="center"/>
          </w:tcPr>
          <w:p>
            <w:pPr>
              <w:jc w:val="center"/>
              <w:rPr>
                <w:rFonts w:ascii="宋体" w:hAnsi="宋体" w:cs="宋体"/>
                <w:b/>
                <w:bCs/>
                <w:sz w:val="22"/>
                <w:szCs w:val="22"/>
              </w:rPr>
            </w:pPr>
            <w:r>
              <w:rPr>
                <w:rFonts w:hint="eastAsia" w:ascii="宋体" w:hAnsi="宋体"/>
                <w:b/>
                <w:bCs/>
                <w:sz w:val="22"/>
                <w:szCs w:val="22"/>
              </w:rPr>
              <w:t>合计</w:t>
            </w:r>
          </w:p>
        </w:tc>
        <w:tc>
          <w:tcPr>
            <w:tcW w:w="2700" w:type="dxa"/>
            <w:tcBorders>
              <w:top w:val="nil"/>
              <w:left w:val="nil"/>
              <w:bottom w:val="single" w:color="auto" w:sz="4" w:space="0"/>
              <w:right w:val="single" w:color="auto" w:sz="4" w:space="0"/>
            </w:tcBorders>
            <w:vAlign w:val="center"/>
          </w:tcPr>
          <w:p>
            <w:pPr>
              <w:jc w:val="center"/>
              <w:rPr>
                <w:rFonts w:ascii="宋体" w:hAnsi="宋体" w:cs="宋体"/>
                <w:b/>
                <w:bCs/>
                <w:sz w:val="22"/>
                <w:szCs w:val="22"/>
              </w:rPr>
            </w:pPr>
            <w:r>
              <w:rPr>
                <w:rFonts w:hint="eastAsia" w:ascii="宋体" w:hAnsi="宋体"/>
                <w:b/>
                <w:bCs/>
                <w:sz w:val="22"/>
                <w:szCs w:val="22"/>
              </w:rPr>
              <w:t>人员支出</w:t>
            </w:r>
          </w:p>
        </w:tc>
        <w:tc>
          <w:tcPr>
            <w:tcW w:w="2340" w:type="dxa"/>
            <w:tcBorders>
              <w:top w:val="nil"/>
              <w:left w:val="nil"/>
              <w:bottom w:val="single" w:color="auto" w:sz="4" w:space="0"/>
              <w:right w:val="single" w:color="auto" w:sz="4" w:space="0"/>
            </w:tcBorders>
            <w:vAlign w:val="center"/>
          </w:tcPr>
          <w:p>
            <w:pPr>
              <w:jc w:val="center"/>
              <w:rPr>
                <w:rFonts w:ascii="宋体" w:hAnsi="宋体" w:cs="宋体"/>
                <w:b/>
                <w:bCs/>
                <w:sz w:val="22"/>
                <w:szCs w:val="22"/>
              </w:rPr>
            </w:pPr>
            <w:r>
              <w:rPr>
                <w:rFonts w:hint="eastAsia" w:ascii="宋体" w:hAnsi="宋体"/>
                <w:b/>
                <w:bCs/>
                <w:sz w:val="22"/>
                <w:szCs w:val="22"/>
              </w:rPr>
              <w:t>日常公用支出</w:t>
            </w:r>
          </w:p>
        </w:tc>
      </w:tr>
      <w:tr>
        <w:tblPrEx>
          <w:tblCellMar>
            <w:top w:w="0" w:type="dxa"/>
            <w:left w:w="108" w:type="dxa"/>
            <w:bottom w:w="0" w:type="dxa"/>
            <w:right w:w="108" w:type="dxa"/>
          </w:tblCellMar>
        </w:tblPrEx>
        <w:trPr>
          <w:trHeight w:val="113" w:hRule="atLeast"/>
          <w:tblHeader/>
        </w:trPr>
        <w:tc>
          <w:tcPr>
            <w:tcW w:w="5957" w:type="dxa"/>
            <w:gridSpan w:val="2"/>
            <w:tcBorders>
              <w:top w:val="single" w:color="auto" w:sz="4" w:space="0"/>
              <w:left w:val="single" w:color="auto" w:sz="4" w:space="0"/>
              <w:bottom w:val="single" w:color="auto" w:sz="4" w:space="0"/>
              <w:right w:val="single" w:color="000000" w:sz="4" w:space="0"/>
            </w:tcBorders>
            <w:vAlign w:val="center"/>
          </w:tcPr>
          <w:p>
            <w:pPr>
              <w:spacing w:line="360" w:lineRule="exact"/>
              <w:jc w:val="center"/>
              <w:rPr>
                <w:rFonts w:ascii="宋体" w:hAnsi="宋体" w:cs="宋体"/>
                <w:b/>
                <w:bCs/>
                <w:sz w:val="22"/>
                <w:szCs w:val="22"/>
              </w:rPr>
            </w:pPr>
            <w:r>
              <w:rPr>
                <w:rFonts w:hint="eastAsia" w:ascii="宋体" w:hAnsi="宋体"/>
                <w:b/>
                <w:bCs/>
                <w:sz w:val="22"/>
                <w:szCs w:val="22"/>
              </w:rPr>
              <w:t>总计</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cs="宋体"/>
                <w:sz w:val="22"/>
                <w:szCs w:val="22"/>
              </w:rPr>
              <w:t>594.99</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566.31</w:t>
            </w: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28.68</w:t>
            </w:r>
          </w:p>
        </w:tc>
      </w:tr>
      <w:tr>
        <w:tblPrEx>
          <w:tblCellMar>
            <w:top w:w="0" w:type="dxa"/>
            <w:left w:w="108" w:type="dxa"/>
            <w:bottom w:w="0" w:type="dxa"/>
            <w:right w:w="108" w:type="dxa"/>
          </w:tblCellMar>
        </w:tblPrEx>
        <w:trPr>
          <w:trHeight w:val="345"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b/>
                <w:bCs/>
                <w:sz w:val="22"/>
                <w:szCs w:val="22"/>
              </w:rPr>
            </w:pPr>
            <w:r>
              <w:rPr>
                <w:rFonts w:hint="eastAsia" w:ascii="宋体" w:hAnsi="宋体"/>
                <w:b/>
                <w:bCs/>
                <w:sz w:val="22"/>
                <w:szCs w:val="22"/>
              </w:rPr>
              <w:t>一、工资福利支出</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560.91</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560.91</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30101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基本工资</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191.06</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191.06</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90"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30102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津贴补贴</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106.72</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106.72</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90"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30103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奖金</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68.80</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68.80</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30106</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伙食补助费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30107</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绩效工资</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31.90</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31.90</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90"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30108</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机关事业单位基本养老保险缴费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64.94</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64.94</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sz w:val="22"/>
                <w:szCs w:val="22"/>
              </w:rPr>
            </w:pPr>
            <w:r>
              <w:rPr>
                <w:rFonts w:hint="eastAsia" w:ascii="宋体" w:hAnsi="宋体"/>
                <w:sz w:val="22"/>
                <w:szCs w:val="22"/>
              </w:rPr>
              <w:t>30109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职业年金缴费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25.98</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25.98</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sz w:val="22"/>
                <w:szCs w:val="22"/>
              </w:rPr>
            </w:pPr>
            <w:r>
              <w:rPr>
                <w:rFonts w:hint="eastAsia" w:ascii="宋体" w:hAnsi="宋体"/>
                <w:sz w:val="22"/>
                <w:szCs w:val="22"/>
              </w:rPr>
              <w:t>30110</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职工基本医疗保险缴费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25.98</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25.98</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sz w:val="22"/>
                <w:szCs w:val="22"/>
              </w:rPr>
            </w:pPr>
            <w:r>
              <w:rPr>
                <w:rFonts w:hint="eastAsia" w:ascii="宋体" w:hAnsi="宋体"/>
                <w:sz w:val="22"/>
                <w:szCs w:val="22"/>
              </w:rPr>
              <w:t>30111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公务员医疗补助缴费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sz w:val="22"/>
                <w:szCs w:val="22"/>
              </w:rPr>
            </w:pPr>
            <w:r>
              <w:rPr>
                <w:rFonts w:hint="eastAsia" w:ascii="宋体" w:hAnsi="宋体"/>
                <w:sz w:val="22"/>
                <w:szCs w:val="22"/>
              </w:rPr>
              <w:t>30112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其他社会保障缴费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5.39</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5.39</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sz w:val="22"/>
                <w:szCs w:val="22"/>
              </w:rPr>
            </w:pPr>
            <w:r>
              <w:rPr>
                <w:rFonts w:hint="eastAsia" w:ascii="宋体" w:hAnsi="宋体"/>
                <w:sz w:val="22"/>
                <w:szCs w:val="22"/>
              </w:rPr>
              <w:t>30113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住房公积金</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40.14</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40.14</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30114</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医疗费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sz w:val="22"/>
                <w:szCs w:val="22"/>
              </w:rPr>
            </w:pPr>
            <w:r>
              <w:rPr>
                <w:rFonts w:hint="eastAsia" w:ascii="宋体" w:hAnsi="宋体"/>
                <w:sz w:val="22"/>
                <w:szCs w:val="22"/>
              </w:rPr>
              <w:t>30199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其他工资福利支出</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b/>
                <w:bCs/>
                <w:sz w:val="22"/>
                <w:szCs w:val="22"/>
              </w:rPr>
            </w:pPr>
            <w:r>
              <w:rPr>
                <w:rFonts w:hint="eastAsia" w:ascii="宋体" w:hAnsi="宋体"/>
                <w:b/>
                <w:bCs/>
                <w:sz w:val="22"/>
                <w:szCs w:val="22"/>
              </w:rPr>
              <w:t>二、商品和服务支出</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cs="宋体"/>
                <w:sz w:val="22"/>
                <w:szCs w:val="22"/>
              </w:rPr>
              <w:t>28.68</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28.68</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办公费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3</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3</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印刷费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2</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2</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咨询费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30204</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手续费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30205</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水费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1</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1</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30206</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电费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1</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1</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30207</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邮电费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30208</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取暖费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9.79</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9.79</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物业管理费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差旅费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因公出国（境）费用</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r>
              <w:rPr>
                <w:rFonts w:hint="eastAsia"/>
                <w:sz w:val="22"/>
                <w:szCs w:val="22"/>
              </w:rPr>
              <w:t>　</w:t>
            </w: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维修（护）费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3.65</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3.65</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30214</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租赁费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30215</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会议费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30216</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培训费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2</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2</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30217</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公务接待费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30218</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专用材料费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30224</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被装购置费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30225</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专用燃料费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30226</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劳务费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30227</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委托业务费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30228</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工会经费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6.18</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6.18</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30229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福利费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0.15</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0.15</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30231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公务用车运行维护费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30239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其他交通费用</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30240</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税金及附加费用</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30299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其他商品和服务支出</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b/>
                <w:bCs/>
                <w:sz w:val="22"/>
                <w:szCs w:val="22"/>
              </w:rPr>
            </w:pPr>
            <w:r>
              <w:rPr>
                <w:rFonts w:hint="eastAsia" w:ascii="宋体" w:hAnsi="宋体"/>
                <w:b/>
                <w:bCs/>
                <w:sz w:val="22"/>
                <w:szCs w:val="22"/>
              </w:rPr>
              <w:t>三、对个人和家庭的补助</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cs="宋体"/>
                <w:sz w:val="22"/>
                <w:szCs w:val="22"/>
              </w:rPr>
              <w:t>5.4</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5.40</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离休费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退休费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cs="宋体"/>
                <w:sz w:val="22"/>
                <w:szCs w:val="22"/>
              </w:rPr>
              <w:t>5.4</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5.40</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退职（役）费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30304</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抚恤金</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30305</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生活补助</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30306</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救济费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30307</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医疗费补助</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30308</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助学金</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奖励金</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30310</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个人农业生产补贴</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30399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其他对个人和家庭的补助支出</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310</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b/>
                <w:bCs/>
                <w:sz w:val="22"/>
                <w:szCs w:val="22"/>
              </w:rPr>
            </w:pPr>
            <w:r>
              <w:rPr>
                <w:rFonts w:hint="eastAsia" w:ascii="宋体" w:hAnsi="宋体"/>
                <w:b/>
                <w:bCs/>
                <w:sz w:val="22"/>
                <w:szCs w:val="22"/>
              </w:rPr>
              <w:t>四、资本性支出</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31002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办公设备购置</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31003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专用设备购置</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31007</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信息网络及软件购置更新</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31099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其他资本性支出</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　</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r>
              <w:rPr>
                <w:rFonts w:hint="eastAsia"/>
                <w:sz w:val="22"/>
                <w:szCs w:val="22"/>
              </w:rPr>
              <w:t>　</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r>
              <w:rPr>
                <w:rFonts w:hint="eastAsia"/>
                <w:sz w:val="22"/>
                <w:szCs w:val="22"/>
              </w:rPr>
              <w:t>　</w:t>
            </w:r>
          </w:p>
        </w:tc>
      </w:tr>
    </w:tbl>
    <w:p>
      <w:pPr>
        <w:widowControl/>
        <w:ind w:firstLine="960" w:firstLineChars="300"/>
        <w:outlineLvl w:val="1"/>
        <w:rPr>
          <w:rFonts w:ascii="黑体" w:hAnsi="宋体" w:eastAsia="黑体"/>
          <w:b/>
          <w:kern w:val="0"/>
          <w:sz w:val="32"/>
          <w:szCs w:val="32"/>
        </w:rPr>
      </w:pPr>
      <w:r>
        <w:rPr>
          <w:rFonts w:hint="eastAsia" w:ascii="黑体" w:hAnsi="宋体" w:eastAsia="黑体"/>
          <w:b/>
          <w:kern w:val="0"/>
          <w:sz w:val="32"/>
          <w:szCs w:val="32"/>
        </w:rPr>
        <w:t>五、一般公共预算财政拨款“三公”经费支出表</w:t>
      </w:r>
    </w:p>
    <w:p>
      <w:pPr>
        <w:widowControl/>
        <w:ind w:firstLine="720"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一般公共预算财政拨款“三公”经费支出表</w:t>
      </w:r>
    </w:p>
    <w:p>
      <w:pPr>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W w:w="13878" w:type="dxa"/>
        <w:tblInd w:w="91" w:type="dxa"/>
        <w:tblLayout w:type="fixed"/>
        <w:tblCellMar>
          <w:top w:w="0" w:type="dxa"/>
          <w:left w:w="108" w:type="dxa"/>
          <w:bottom w:w="0" w:type="dxa"/>
          <w:right w:w="108" w:type="dxa"/>
        </w:tblCellMar>
      </w:tblPr>
      <w:tblGrid>
        <w:gridCol w:w="771"/>
        <w:gridCol w:w="771"/>
        <w:gridCol w:w="771"/>
        <w:gridCol w:w="771"/>
        <w:gridCol w:w="771"/>
        <w:gridCol w:w="771"/>
        <w:gridCol w:w="771"/>
        <w:gridCol w:w="771"/>
        <w:gridCol w:w="771"/>
        <w:gridCol w:w="771"/>
        <w:gridCol w:w="771"/>
        <w:gridCol w:w="771"/>
        <w:gridCol w:w="771"/>
        <w:gridCol w:w="771"/>
        <w:gridCol w:w="771"/>
        <w:gridCol w:w="771"/>
        <w:gridCol w:w="771"/>
        <w:gridCol w:w="771"/>
      </w:tblGrid>
      <w:tr>
        <w:tblPrEx>
          <w:tblCellMar>
            <w:top w:w="0" w:type="dxa"/>
            <w:left w:w="108" w:type="dxa"/>
            <w:bottom w:w="0" w:type="dxa"/>
            <w:right w:w="108" w:type="dxa"/>
          </w:tblCellMar>
        </w:tblPrEx>
        <w:trPr>
          <w:trHeight w:val="555" w:hRule="atLeast"/>
        </w:trPr>
        <w:tc>
          <w:tcPr>
            <w:tcW w:w="4626"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2019年预算数</w:t>
            </w:r>
          </w:p>
        </w:tc>
        <w:tc>
          <w:tcPr>
            <w:tcW w:w="4626"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2019年执行数（决算数）</w:t>
            </w:r>
          </w:p>
        </w:tc>
        <w:tc>
          <w:tcPr>
            <w:tcW w:w="4626"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2020年预算数</w:t>
            </w:r>
          </w:p>
        </w:tc>
      </w:tr>
      <w:tr>
        <w:tblPrEx>
          <w:tblCellMar>
            <w:top w:w="0" w:type="dxa"/>
            <w:left w:w="108" w:type="dxa"/>
            <w:bottom w:w="0" w:type="dxa"/>
            <w:right w:w="108" w:type="dxa"/>
          </w:tblCellMar>
        </w:tblPrEx>
        <w:trPr>
          <w:trHeight w:val="1170" w:hRule="atLeast"/>
        </w:trPr>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因公出国（境）费</w:t>
            </w:r>
          </w:p>
        </w:tc>
        <w:tc>
          <w:tcPr>
            <w:tcW w:w="2313"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公务用车购置及运行费</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公务接待费</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因公出国（境）费</w:t>
            </w:r>
          </w:p>
        </w:tc>
        <w:tc>
          <w:tcPr>
            <w:tcW w:w="2313"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公务用车购置及运行费</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公务接待费</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因公出国（境）费</w:t>
            </w:r>
          </w:p>
        </w:tc>
        <w:tc>
          <w:tcPr>
            <w:tcW w:w="2313"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公务用车购置及运行费</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公务接待费</w:t>
            </w:r>
          </w:p>
        </w:tc>
      </w:tr>
      <w:tr>
        <w:tblPrEx>
          <w:tblCellMar>
            <w:top w:w="0" w:type="dxa"/>
            <w:left w:w="108" w:type="dxa"/>
            <w:bottom w:w="0" w:type="dxa"/>
            <w:right w:w="108" w:type="dxa"/>
          </w:tblCellMar>
        </w:tblPrEx>
        <w:trPr>
          <w:trHeight w:val="1170" w:hRule="atLeast"/>
        </w:trPr>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小计</w:t>
            </w: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公务用车购置费</w:t>
            </w: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公务用车运行费</w:t>
            </w: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小计</w:t>
            </w: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公务用车购置费</w:t>
            </w: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公务用车运行费</w:t>
            </w: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小计</w:t>
            </w: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公务用车购置费</w:t>
            </w: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公务用车运行费</w:t>
            </w: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0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r>
      <w:tr>
        <w:tblPrEx>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bl>
    <w:p>
      <w:pPr>
        <w:widowControl/>
        <w:ind w:firstLine="640" w:firstLineChars="200"/>
        <w:outlineLvl w:val="1"/>
        <w:rPr>
          <w:rFonts w:ascii="黑体" w:hAnsi="宋体" w:eastAsia="黑体"/>
          <w:b/>
          <w:kern w:val="0"/>
          <w:sz w:val="32"/>
          <w:szCs w:val="32"/>
        </w:rPr>
      </w:pPr>
      <w:r>
        <w:rPr>
          <w:rFonts w:hint="eastAsia" w:ascii="黑体" w:hAnsi="宋体" w:eastAsia="黑体"/>
          <w:b/>
          <w:kern w:val="0"/>
          <w:sz w:val="32"/>
          <w:szCs w:val="32"/>
        </w:rPr>
        <w:t>我单位本年度无一般公共预算财政拨款“三公”经费支出。</w:t>
      </w:r>
    </w:p>
    <w:p>
      <w:pPr>
        <w:widowControl/>
        <w:ind w:firstLine="627" w:firstLineChars="196"/>
        <w:outlineLvl w:val="1"/>
        <w:rPr>
          <w:rFonts w:ascii="黑体" w:hAnsi="宋体" w:eastAsia="黑体"/>
          <w:b/>
          <w:kern w:val="0"/>
          <w:sz w:val="32"/>
          <w:szCs w:val="32"/>
        </w:rPr>
      </w:pPr>
      <w:r>
        <w:rPr>
          <w:rFonts w:hint="eastAsia" w:ascii="黑体" w:hAnsi="宋体" w:eastAsia="黑体"/>
          <w:b/>
          <w:kern w:val="0"/>
          <w:sz w:val="32"/>
          <w:szCs w:val="32"/>
        </w:rPr>
        <w:t>六、政府性基金预算财政拨款支出表</w:t>
      </w:r>
    </w:p>
    <w:p>
      <w:pPr>
        <w:widowControl/>
        <w:ind w:firstLine="720"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政府性基金预算财政拨款支出表</w:t>
      </w:r>
    </w:p>
    <w:p>
      <w:pPr>
        <w:widowControl/>
        <w:ind w:firstLine="640" w:firstLineChars="200"/>
        <w:jc w:val="center"/>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W w:w="14180" w:type="dxa"/>
        <w:tblInd w:w="91" w:type="dxa"/>
        <w:tblLayout w:type="fixed"/>
        <w:tblCellMar>
          <w:top w:w="0" w:type="dxa"/>
          <w:left w:w="108" w:type="dxa"/>
          <w:bottom w:w="0" w:type="dxa"/>
          <w:right w:w="108" w:type="dxa"/>
        </w:tblCellMar>
      </w:tblPr>
      <w:tblGrid>
        <w:gridCol w:w="1418"/>
        <w:gridCol w:w="1418"/>
        <w:gridCol w:w="1418"/>
        <w:gridCol w:w="1418"/>
        <w:gridCol w:w="1418"/>
        <w:gridCol w:w="1418"/>
        <w:gridCol w:w="1418"/>
        <w:gridCol w:w="1418"/>
        <w:gridCol w:w="1418"/>
        <w:gridCol w:w="1418"/>
      </w:tblGrid>
      <w:tr>
        <w:tblPrEx>
          <w:tblCellMar>
            <w:top w:w="0" w:type="dxa"/>
            <w:left w:w="108" w:type="dxa"/>
            <w:bottom w:w="0" w:type="dxa"/>
            <w:right w:w="108" w:type="dxa"/>
          </w:tblCellMar>
        </w:tblPrEx>
        <w:trPr>
          <w:trHeight w:val="510" w:hRule="atLeast"/>
        </w:trPr>
        <w:tc>
          <w:tcPr>
            <w:tcW w:w="283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功能分类科目</w:t>
            </w:r>
          </w:p>
        </w:tc>
        <w:tc>
          <w:tcPr>
            <w:tcW w:w="1418" w:type="dxa"/>
            <w:vMerge w:val="restart"/>
            <w:tcBorders>
              <w:top w:val="single" w:color="auto" w:sz="4" w:space="0"/>
              <w:left w:val="nil"/>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2019年执行数（决算数）</w:t>
            </w:r>
          </w:p>
          <w:p>
            <w:pPr>
              <w:jc w:val="center"/>
              <w:rPr>
                <w:rFonts w:ascii="宋体" w:hAnsi="宋体" w:cs="宋体"/>
                <w:b/>
                <w:bCs/>
                <w:kern w:val="0"/>
                <w:sz w:val="22"/>
                <w:szCs w:val="22"/>
              </w:rPr>
            </w:pPr>
          </w:p>
        </w:tc>
        <w:tc>
          <w:tcPr>
            <w:tcW w:w="7090"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2020年预算数</w:t>
            </w:r>
          </w:p>
        </w:tc>
        <w:tc>
          <w:tcPr>
            <w:tcW w:w="2836" w:type="dxa"/>
            <w:gridSpan w:val="2"/>
            <w:tcBorders>
              <w:top w:val="single" w:color="auto" w:sz="4" w:space="0"/>
              <w:bottom w:val="single" w:color="auto" w:sz="4" w:space="0"/>
              <w:right w:val="single" w:color="auto" w:sz="4" w:space="0"/>
            </w:tcBorders>
            <w:vAlign w:val="center"/>
          </w:tcPr>
          <w:p>
            <w:pPr>
              <w:widowControl/>
              <w:jc w:val="center"/>
              <w:rPr>
                <w:kern w:val="0"/>
                <w:sz w:val="20"/>
                <w:szCs w:val="20"/>
              </w:rPr>
            </w:pPr>
            <w:r>
              <w:rPr>
                <w:rFonts w:hint="eastAsia" w:ascii="宋体" w:hAnsi="宋体" w:cs="宋体"/>
                <w:b/>
                <w:bCs/>
                <w:kern w:val="0"/>
                <w:sz w:val="22"/>
                <w:szCs w:val="22"/>
              </w:rPr>
              <w:t>2020年预算数与2019年执行数（决算数）</w:t>
            </w:r>
          </w:p>
        </w:tc>
      </w:tr>
      <w:tr>
        <w:tblPrEx>
          <w:tblCellMar>
            <w:top w:w="0" w:type="dxa"/>
            <w:left w:w="108" w:type="dxa"/>
            <w:bottom w:w="0" w:type="dxa"/>
            <w:right w:w="108" w:type="dxa"/>
          </w:tblCellMar>
        </w:tblPrEx>
        <w:trPr>
          <w:trHeight w:val="510" w:hRule="atLeast"/>
        </w:trPr>
        <w:tc>
          <w:tcPr>
            <w:tcW w:w="1418" w:type="dxa"/>
            <w:vMerge w:val="restart"/>
            <w:tcBorders>
              <w:top w:val="nil"/>
              <w:left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1418" w:type="dxa"/>
            <w:vMerge w:val="restart"/>
            <w:tcBorders>
              <w:top w:val="nil"/>
              <w:left w:val="nil"/>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1418" w:type="dxa"/>
            <w:vMerge w:val="continue"/>
            <w:tcBorders>
              <w:left w:val="nil"/>
              <w:right w:val="single" w:color="auto" w:sz="4" w:space="0"/>
            </w:tcBorders>
            <w:vAlign w:val="center"/>
          </w:tcPr>
          <w:p>
            <w:pPr>
              <w:widowControl/>
              <w:jc w:val="center"/>
              <w:rPr>
                <w:rFonts w:ascii="宋体" w:hAnsi="宋体" w:cs="宋体"/>
                <w:b/>
                <w:bCs/>
                <w:kern w:val="0"/>
                <w:sz w:val="22"/>
                <w:szCs w:val="22"/>
              </w:rPr>
            </w:pPr>
          </w:p>
        </w:tc>
        <w:tc>
          <w:tcPr>
            <w:tcW w:w="1418" w:type="dxa"/>
            <w:vMerge w:val="restart"/>
            <w:tcBorders>
              <w:top w:val="nil"/>
              <w:left w:val="nil"/>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4254" w:type="dxa"/>
            <w:gridSpan w:val="3"/>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基本支出</w:t>
            </w:r>
          </w:p>
        </w:tc>
        <w:tc>
          <w:tcPr>
            <w:tcW w:w="1418"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项目支出</w:t>
            </w:r>
          </w:p>
        </w:tc>
        <w:tc>
          <w:tcPr>
            <w:tcW w:w="1418" w:type="dxa"/>
            <w:vMerge w:val="restart"/>
            <w:tcBorders>
              <w:top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增减额</w:t>
            </w:r>
          </w:p>
        </w:tc>
        <w:tc>
          <w:tcPr>
            <w:tcW w:w="1418"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增减%</w:t>
            </w:r>
          </w:p>
        </w:tc>
      </w:tr>
      <w:tr>
        <w:tblPrEx>
          <w:tblCellMar>
            <w:top w:w="0" w:type="dxa"/>
            <w:left w:w="108" w:type="dxa"/>
            <w:bottom w:w="0" w:type="dxa"/>
            <w:right w:w="108" w:type="dxa"/>
          </w:tblCellMar>
        </w:tblPrEx>
        <w:trPr>
          <w:trHeight w:val="510" w:hRule="atLeast"/>
        </w:trPr>
        <w:tc>
          <w:tcPr>
            <w:tcW w:w="1418"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418" w:type="dxa"/>
            <w:vMerge w:val="continue"/>
            <w:tcBorders>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418" w:type="dxa"/>
            <w:vMerge w:val="continue"/>
            <w:tcBorders>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418" w:type="dxa"/>
            <w:vMerge w:val="continue"/>
            <w:tcBorders>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418" w:type="dxa"/>
            <w:tcBorders>
              <w:top w:val="single" w:color="auto" w:sz="4" w:space="0"/>
              <w:left w:val="nil"/>
              <w:bottom w:val="single" w:color="auto" w:sz="4" w:space="0"/>
              <w:right w:val="single" w:color="auto" w:sz="4" w:space="0"/>
            </w:tcBorders>
            <w:vAlign w:val="center"/>
          </w:tcPr>
          <w:p>
            <w:pPr>
              <w:jc w:val="center"/>
              <w:rPr>
                <w:rFonts w:ascii="宋体" w:hAnsi="宋体" w:cs="宋体"/>
                <w:b/>
                <w:bCs/>
                <w:kern w:val="0"/>
                <w:sz w:val="22"/>
                <w:szCs w:val="22"/>
              </w:rPr>
            </w:pPr>
            <w:r>
              <w:rPr>
                <w:rFonts w:hint="eastAsia" w:ascii="宋体" w:hAnsi="宋体" w:cs="宋体"/>
                <w:b/>
                <w:bCs/>
                <w:kern w:val="0"/>
                <w:sz w:val="22"/>
                <w:szCs w:val="22"/>
              </w:rPr>
              <w:t>小计</w:t>
            </w:r>
          </w:p>
        </w:tc>
        <w:tc>
          <w:tcPr>
            <w:tcW w:w="141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kern w:val="0"/>
                <w:sz w:val="22"/>
                <w:szCs w:val="22"/>
              </w:rPr>
            </w:pPr>
            <w:r>
              <w:rPr>
                <w:rFonts w:hint="eastAsia" w:ascii="宋体" w:hAnsi="宋体" w:cs="宋体"/>
                <w:b/>
                <w:bCs/>
                <w:kern w:val="0"/>
                <w:sz w:val="22"/>
                <w:szCs w:val="22"/>
              </w:rPr>
              <w:t>日常公用经费</w:t>
            </w:r>
          </w:p>
        </w:tc>
        <w:tc>
          <w:tcPr>
            <w:tcW w:w="1418"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418" w:type="dxa"/>
            <w:vMerge w:val="continue"/>
            <w:tcBorders>
              <w:bottom w:val="single" w:color="auto" w:sz="4" w:space="0"/>
              <w:right w:val="single" w:color="auto" w:sz="4" w:space="0"/>
            </w:tcBorders>
            <w:vAlign w:val="center"/>
          </w:tcPr>
          <w:p>
            <w:pPr>
              <w:widowControl/>
              <w:rPr>
                <w:rFonts w:ascii="宋体" w:hAnsi="宋体" w:cs="宋体"/>
                <w:b/>
                <w:bCs/>
                <w:kern w:val="0"/>
                <w:sz w:val="22"/>
                <w:szCs w:val="22"/>
              </w:rPr>
            </w:pPr>
          </w:p>
        </w:tc>
        <w:tc>
          <w:tcPr>
            <w:tcW w:w="1418"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r>
      <w:tr>
        <w:tblPrEx>
          <w:tblCellMar>
            <w:top w:w="0" w:type="dxa"/>
            <w:left w:w="108" w:type="dxa"/>
            <w:bottom w:w="0" w:type="dxa"/>
            <w:right w:w="108" w:type="dxa"/>
          </w:tblCellMar>
        </w:tblPrEx>
        <w:trPr>
          <w:trHeight w:val="555"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bottom w:val="single" w:color="auto" w:sz="4" w:space="0"/>
              <w:right w:val="single" w:color="auto" w:sz="4" w:space="0"/>
            </w:tcBorders>
          </w:tcPr>
          <w:p>
            <w:pPr>
              <w:widowControl/>
              <w:jc w:val="left"/>
              <w:rPr>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r>
      <w:tr>
        <w:tblPrEx>
          <w:tblCellMar>
            <w:top w:w="0" w:type="dxa"/>
            <w:left w:w="108" w:type="dxa"/>
            <w:bottom w:w="0" w:type="dxa"/>
            <w:right w:w="108" w:type="dxa"/>
          </w:tblCellMar>
        </w:tblPrEx>
        <w:trPr>
          <w:trHeight w:val="605"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r>
      <w:tr>
        <w:tblPrEx>
          <w:tblCellMar>
            <w:top w:w="0" w:type="dxa"/>
            <w:left w:w="108" w:type="dxa"/>
            <w:bottom w:w="0" w:type="dxa"/>
            <w:right w:w="108" w:type="dxa"/>
          </w:tblCellMar>
        </w:tblPrEx>
        <w:trPr>
          <w:trHeight w:val="613"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r>
      <w:tr>
        <w:tblPrEx>
          <w:tblCellMar>
            <w:top w:w="0" w:type="dxa"/>
            <w:left w:w="108" w:type="dxa"/>
            <w:bottom w:w="0" w:type="dxa"/>
            <w:right w:w="108" w:type="dxa"/>
          </w:tblCellMar>
        </w:tblPrEx>
        <w:trPr>
          <w:trHeight w:val="621"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r>
      <w:tr>
        <w:tblPrEx>
          <w:tblCellMar>
            <w:top w:w="0" w:type="dxa"/>
            <w:left w:w="108" w:type="dxa"/>
            <w:bottom w:w="0" w:type="dxa"/>
            <w:right w:w="108" w:type="dxa"/>
          </w:tblCellMar>
        </w:tblPrEx>
        <w:trPr>
          <w:trHeight w:val="614"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r>
      <w:tr>
        <w:tblPrEx>
          <w:tblCellMar>
            <w:top w:w="0" w:type="dxa"/>
            <w:left w:w="108" w:type="dxa"/>
            <w:bottom w:w="0" w:type="dxa"/>
            <w:right w:w="108" w:type="dxa"/>
          </w:tblCellMar>
        </w:tblPrEx>
        <w:trPr>
          <w:trHeight w:val="608"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r>
      <w:tr>
        <w:tblPrEx>
          <w:tblCellMar>
            <w:top w:w="0" w:type="dxa"/>
            <w:left w:w="108" w:type="dxa"/>
            <w:bottom w:w="0" w:type="dxa"/>
            <w:right w:w="108" w:type="dxa"/>
          </w:tblCellMar>
        </w:tblPrEx>
        <w:trPr>
          <w:trHeight w:val="603"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r>
    </w:tbl>
    <w:p>
      <w:pPr>
        <w:widowControl/>
        <w:ind w:firstLine="640" w:firstLineChars="200"/>
        <w:outlineLvl w:val="1"/>
        <w:rPr>
          <w:rFonts w:ascii="黑体" w:hAnsi="宋体" w:eastAsia="黑体"/>
          <w:b/>
          <w:kern w:val="0"/>
          <w:sz w:val="32"/>
          <w:szCs w:val="32"/>
        </w:rPr>
      </w:pPr>
      <w:r>
        <w:rPr>
          <w:rFonts w:hint="eastAsia" w:ascii="黑体" w:hAnsi="宋体" w:eastAsia="黑体"/>
          <w:b/>
          <w:kern w:val="0"/>
          <w:sz w:val="32"/>
          <w:szCs w:val="32"/>
        </w:rPr>
        <w:t>我单位本年度无政府性基金预算财政拨款支出。</w:t>
      </w:r>
    </w:p>
    <w:p>
      <w:pPr>
        <w:widowControl/>
        <w:ind w:firstLine="640" w:firstLineChars="200"/>
        <w:outlineLvl w:val="1"/>
        <w:rPr>
          <w:rFonts w:ascii="黑体" w:hAnsi="宋体" w:eastAsia="黑体"/>
          <w:b/>
          <w:kern w:val="0"/>
          <w:sz w:val="32"/>
          <w:szCs w:val="32"/>
        </w:rPr>
      </w:pPr>
      <w:r>
        <w:rPr>
          <w:rFonts w:hint="eastAsia" w:ascii="黑体" w:hAnsi="宋体" w:eastAsia="黑体"/>
          <w:b/>
          <w:kern w:val="0"/>
          <w:sz w:val="32"/>
          <w:szCs w:val="32"/>
        </w:rPr>
        <w:t>七、部门收支预算总表</w:t>
      </w:r>
    </w:p>
    <w:p>
      <w:pPr>
        <w:widowControl/>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部门收支预算总表</w:t>
      </w:r>
    </w:p>
    <w:p>
      <w:pPr>
        <w:widowControl/>
        <w:jc w:val="right"/>
        <w:outlineLvl w:val="1"/>
        <w:rPr>
          <w:rFonts w:ascii="仿宋_GB2312" w:hAnsi="宋体" w:eastAsia="仿宋_GB2312"/>
          <w:b/>
          <w:kern w:val="0"/>
          <w:sz w:val="36"/>
          <w:szCs w:val="36"/>
        </w:rPr>
      </w:pPr>
      <w:r>
        <w:rPr>
          <w:rFonts w:hint="eastAsia" w:ascii="仿宋_GB2312" w:hAnsi="宋体" w:eastAsia="仿宋_GB2312"/>
          <w:kern w:val="0"/>
          <w:sz w:val="32"/>
          <w:szCs w:val="32"/>
        </w:rPr>
        <w:t xml:space="preserve">     单位：万元</w:t>
      </w:r>
    </w:p>
    <w:tbl>
      <w:tblPr>
        <w:tblStyle w:val="6"/>
        <w:tblW w:w="13857" w:type="dxa"/>
        <w:tblInd w:w="93" w:type="dxa"/>
        <w:tblLayout w:type="fixed"/>
        <w:tblCellMar>
          <w:top w:w="15" w:type="dxa"/>
          <w:left w:w="108" w:type="dxa"/>
          <w:bottom w:w="15" w:type="dxa"/>
          <w:right w:w="108" w:type="dxa"/>
        </w:tblCellMar>
      </w:tblPr>
      <w:tblGrid>
        <w:gridCol w:w="5235"/>
        <w:gridCol w:w="1800"/>
        <w:gridCol w:w="5022"/>
        <w:gridCol w:w="1800"/>
      </w:tblGrid>
      <w:tr>
        <w:trPr>
          <w:trHeight w:val="316" w:hRule="atLeast"/>
        </w:trPr>
        <w:tc>
          <w:tcPr>
            <w:tcW w:w="7035" w:type="dxa"/>
            <w:gridSpan w:val="2"/>
            <w:tcBorders>
              <w:top w:val="single" w:color="000000" w:sz="4" w:space="0"/>
              <w:left w:val="single" w:color="000000" w:sz="4" w:space="0"/>
              <w:right w:val="single" w:color="000000"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收     入</w:t>
            </w:r>
          </w:p>
        </w:tc>
        <w:tc>
          <w:tcPr>
            <w:tcW w:w="6822" w:type="dxa"/>
            <w:gridSpan w:val="2"/>
            <w:tcBorders>
              <w:top w:val="single" w:color="000000" w:sz="4" w:space="0"/>
              <w:left w:val="single" w:color="000000" w:sz="4" w:space="0"/>
              <w:right w:val="single" w:color="000000"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支     出</w:t>
            </w: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项目</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预算数</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项目</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预算数</w:t>
            </w: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一、财政拨款预算收入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Arial"/>
                <w:color w:val="000000"/>
                <w:kern w:val="0"/>
                <w:sz w:val="22"/>
                <w:szCs w:val="22"/>
              </w:rPr>
              <w:t>598.01</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一、行政支出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（1）一般公共预算财政拨款收入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Arial"/>
                <w:color w:val="000000"/>
                <w:kern w:val="0"/>
                <w:sz w:val="22"/>
                <w:szCs w:val="22"/>
              </w:rPr>
              <w:t>598.01</w:t>
            </w: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ascii="宋体" w:hAnsi="宋体" w:cs="宋体"/>
                <w:color w:val="000000"/>
                <w:kern w:val="0"/>
                <w:sz w:val="22"/>
                <w:szCs w:val="22"/>
              </w:rPr>
              <w:t xml:space="preserve">            其中：财政拨款支出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（2）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ascii="宋体" w:hAnsi="宋体" w:cs="宋体"/>
                <w:color w:val="000000"/>
                <w:kern w:val="0"/>
                <w:sz w:val="22"/>
                <w:szCs w:val="22"/>
              </w:rPr>
              <w:t xml:space="preserve">                  非同级财政拨款支出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二、事业预算收入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二、事业支出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598.01</w:t>
            </w: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其中：非同级财政拨款（科研及辅助活动）</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ascii="宋体" w:hAnsi="宋体" w:cs="宋体"/>
                <w:color w:val="000000"/>
                <w:kern w:val="0"/>
                <w:sz w:val="22"/>
                <w:szCs w:val="22"/>
              </w:rPr>
              <w:t xml:space="preserve">            其中：财政拨款支出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Arial"/>
                <w:color w:val="000000"/>
                <w:kern w:val="0"/>
                <w:sz w:val="22"/>
                <w:szCs w:val="22"/>
              </w:rPr>
              <w:t>598.01</w:t>
            </w: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纳入财政专户管理的非税收入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ascii="宋体" w:hAnsi="宋体" w:cs="宋体"/>
                <w:color w:val="000000"/>
                <w:kern w:val="0"/>
                <w:sz w:val="22"/>
                <w:szCs w:val="22"/>
              </w:rPr>
              <w:t xml:space="preserve">                  非同级财政拨款支出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三、上级补助预算收入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三、经营支出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四、附属单位上缴预算收入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四、上缴上级支出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五、经营预算收入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五、对附属单位补助支出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六、债务预算收入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六、投资支出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七、非同级财政拨款预算收入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七、债务还本支出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八、投资预算收益</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八、其他支出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九、其他预算收入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本年收入合计</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Arial"/>
                <w:color w:val="000000"/>
                <w:kern w:val="0"/>
                <w:sz w:val="22"/>
                <w:szCs w:val="22"/>
              </w:rPr>
              <w:t>598.01</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本年支出合计</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Arial"/>
                <w:color w:val="000000"/>
                <w:kern w:val="0"/>
                <w:sz w:val="22"/>
                <w:szCs w:val="22"/>
              </w:rPr>
              <w:t>598.01</w:t>
            </w: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十、上年结转</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九、年末结转结余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（1）财政拨款结转</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（1）财政拨款结转</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（2）非财政拨款结转</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（2）财政拨款结余</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十一、上年结余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（3）非财政拨款结转</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（1）财政拨款结余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（4）非财政拨款结余</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（2）非财政拨款结余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（5）专用结余</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（3）专用结余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（6）经营结余</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（4）经营结余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收入总计</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Arial"/>
                <w:color w:val="000000"/>
                <w:kern w:val="0"/>
                <w:sz w:val="22"/>
                <w:szCs w:val="22"/>
              </w:rPr>
              <w:t>598.01</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支出总计</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Arial"/>
                <w:color w:val="000000"/>
                <w:kern w:val="0"/>
                <w:sz w:val="22"/>
                <w:szCs w:val="22"/>
              </w:rPr>
              <w:t>598.01</w:t>
            </w:r>
          </w:p>
        </w:tc>
      </w:tr>
    </w:tbl>
    <w:p>
      <w:pPr>
        <w:widowControl/>
        <w:ind w:firstLine="640" w:firstLineChars="200"/>
        <w:outlineLvl w:val="1"/>
        <w:rPr>
          <w:rFonts w:ascii="仿宋_GB2312" w:hAnsi="宋体" w:eastAsia="仿宋_GB2312"/>
          <w:kern w:val="0"/>
          <w:sz w:val="32"/>
          <w:szCs w:val="32"/>
        </w:rPr>
      </w:pPr>
    </w:p>
    <w:p>
      <w:pPr>
        <w:widowControl/>
        <w:jc w:val="left"/>
        <w:outlineLvl w:val="1"/>
        <w:rPr>
          <w:rFonts w:ascii="仿宋_GB2312" w:hAnsi="宋体" w:eastAsia="仿宋_GB2312"/>
          <w:kern w:val="0"/>
          <w:sz w:val="32"/>
          <w:szCs w:val="32"/>
        </w:rPr>
      </w:pPr>
    </w:p>
    <w:p>
      <w:pPr>
        <w:widowControl/>
        <w:ind w:firstLine="640" w:firstLineChars="200"/>
        <w:jc w:val="left"/>
        <w:outlineLvl w:val="1"/>
        <w:rPr>
          <w:rFonts w:ascii="黑体" w:hAnsi="宋体" w:eastAsia="黑体"/>
          <w:b/>
          <w:bCs/>
          <w:kern w:val="0"/>
          <w:sz w:val="32"/>
          <w:szCs w:val="32"/>
        </w:rPr>
      </w:pPr>
    </w:p>
    <w:p>
      <w:pPr>
        <w:widowControl/>
        <w:ind w:firstLine="640" w:firstLineChars="200"/>
        <w:jc w:val="left"/>
        <w:outlineLvl w:val="1"/>
        <w:rPr>
          <w:rFonts w:ascii="黑体" w:hAnsi="宋体" w:eastAsia="黑体"/>
          <w:b/>
          <w:bCs/>
          <w:kern w:val="0"/>
          <w:sz w:val="32"/>
          <w:szCs w:val="32"/>
        </w:rPr>
      </w:pPr>
      <w:r>
        <w:rPr>
          <w:rFonts w:hint="eastAsia" w:ascii="黑体" w:hAnsi="宋体" w:eastAsia="黑体"/>
          <w:b/>
          <w:bCs/>
          <w:kern w:val="0"/>
          <w:sz w:val="32"/>
          <w:szCs w:val="32"/>
        </w:rPr>
        <w:t>八、部门收入总表</w:t>
      </w:r>
    </w:p>
    <w:p>
      <w:pPr>
        <w:widowControl/>
        <w:jc w:val="center"/>
        <w:outlineLvl w:val="1"/>
        <w:rPr>
          <w:rFonts w:ascii="仿宋_GB2312" w:hAnsi="宋体" w:eastAsia="仿宋_GB2312"/>
          <w:b/>
          <w:bCs/>
          <w:kern w:val="0"/>
          <w:sz w:val="36"/>
          <w:szCs w:val="36"/>
        </w:rPr>
      </w:pPr>
      <w:r>
        <w:rPr>
          <w:rFonts w:hint="eastAsia" w:ascii="仿宋_GB2312" w:hAnsi="宋体" w:eastAsia="仿宋_GB2312"/>
          <w:b/>
          <w:bCs/>
          <w:kern w:val="0"/>
          <w:sz w:val="36"/>
          <w:szCs w:val="36"/>
        </w:rPr>
        <w:t>部门收入总表</w:t>
      </w:r>
    </w:p>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W w:w="13890" w:type="dxa"/>
        <w:tblInd w:w="93" w:type="dxa"/>
        <w:tblLayout w:type="fixed"/>
        <w:tblCellMar>
          <w:top w:w="15" w:type="dxa"/>
          <w:left w:w="108" w:type="dxa"/>
          <w:bottom w:w="15" w:type="dxa"/>
          <w:right w:w="108" w:type="dxa"/>
        </w:tblCellMar>
      </w:tblPr>
      <w:tblGrid>
        <w:gridCol w:w="1149"/>
        <w:gridCol w:w="993"/>
        <w:gridCol w:w="992"/>
        <w:gridCol w:w="658"/>
        <w:gridCol w:w="839"/>
        <w:gridCol w:w="860"/>
        <w:gridCol w:w="839"/>
        <w:gridCol w:w="840"/>
        <w:gridCol w:w="840"/>
        <w:gridCol w:w="840"/>
        <w:gridCol w:w="840"/>
        <w:gridCol w:w="840"/>
        <w:gridCol w:w="840"/>
        <w:gridCol w:w="840"/>
        <w:gridCol w:w="840"/>
        <w:gridCol w:w="840"/>
      </w:tblGrid>
      <w:tr>
        <w:tblPrEx>
          <w:tblCellMar>
            <w:top w:w="15" w:type="dxa"/>
            <w:left w:w="108" w:type="dxa"/>
            <w:bottom w:w="15" w:type="dxa"/>
            <w:right w:w="108" w:type="dxa"/>
          </w:tblCellMar>
        </w:tblPrEx>
        <w:trPr>
          <w:trHeight w:val="480" w:hRule="atLeast"/>
        </w:trPr>
        <w:tc>
          <w:tcPr>
            <w:tcW w:w="114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本年收入合计</w:t>
            </w:r>
          </w:p>
        </w:tc>
        <w:tc>
          <w:tcPr>
            <w:tcW w:w="264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财政拨款预算收入</w:t>
            </w:r>
          </w:p>
        </w:tc>
        <w:tc>
          <w:tcPr>
            <w:tcW w:w="253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上级补助预算收入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附属单位上缴预算收入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经营预算收入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债务预算收入</w:t>
            </w:r>
          </w:p>
        </w:tc>
        <w:tc>
          <w:tcPr>
            <w:tcW w:w="25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非同级财政拨款预算收入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投资预算收益</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其他预算收入</w:t>
            </w:r>
          </w:p>
        </w:tc>
      </w:tr>
      <w:tr>
        <w:tblPrEx>
          <w:tblCellMar>
            <w:top w:w="15" w:type="dxa"/>
            <w:left w:w="108" w:type="dxa"/>
            <w:bottom w:w="15" w:type="dxa"/>
            <w:right w:w="108" w:type="dxa"/>
          </w:tblCellMar>
        </w:tblPrEx>
        <w:trPr>
          <w:trHeight w:val="420" w:hRule="atLeast"/>
        </w:trPr>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9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99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一般公共预算财政拨款收入</w:t>
            </w:r>
          </w:p>
        </w:tc>
        <w:tc>
          <w:tcPr>
            <w:tcW w:w="65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政府性基金预算财政拨款收入</w:t>
            </w:r>
          </w:p>
        </w:tc>
        <w:tc>
          <w:tcPr>
            <w:tcW w:w="8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860" w:type="dxa"/>
            <w:tcBorders>
              <w:top w:val="single" w:color="000000" w:sz="4" w:space="0"/>
              <w:bottom w:val="single" w:color="000000" w:sz="4" w:space="0"/>
            </w:tcBorders>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其中：</w:t>
            </w:r>
          </w:p>
        </w:tc>
        <w:tc>
          <w:tcPr>
            <w:tcW w:w="839" w:type="dxa"/>
            <w:tcBorders>
              <w:top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非本级财政拨款</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本级横向财政拨款</w:t>
            </w: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r>
      <w:tr>
        <w:tblPrEx>
          <w:tblCellMar>
            <w:top w:w="15" w:type="dxa"/>
            <w:left w:w="108" w:type="dxa"/>
            <w:bottom w:w="15" w:type="dxa"/>
            <w:right w:w="108" w:type="dxa"/>
          </w:tblCellMar>
        </w:tblPrEx>
        <w:trPr>
          <w:trHeight w:val="312" w:hRule="atLeast"/>
        </w:trPr>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9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65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非同级财政拨款（科研及辅助活动）</w:t>
            </w:r>
          </w:p>
        </w:tc>
        <w:tc>
          <w:tcPr>
            <w:tcW w:w="8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纳入财政专户管理的非税收入</w:t>
            </w: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r>
      <w:tr>
        <w:tblPrEx>
          <w:tblCellMar>
            <w:top w:w="15" w:type="dxa"/>
            <w:left w:w="108" w:type="dxa"/>
            <w:bottom w:w="15" w:type="dxa"/>
            <w:right w:w="108" w:type="dxa"/>
          </w:tblCellMar>
        </w:tblPrEx>
        <w:trPr>
          <w:trHeight w:val="1590" w:hRule="atLeast"/>
        </w:trPr>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99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65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r>
      <w:tr>
        <w:tblPrEx>
          <w:tblCellMar>
            <w:top w:w="15" w:type="dxa"/>
            <w:left w:w="108" w:type="dxa"/>
            <w:bottom w:w="15" w:type="dxa"/>
            <w:right w:w="108" w:type="dxa"/>
          </w:tblCellMar>
        </w:tblPrEx>
        <w:trPr>
          <w:trHeight w:val="286" w:hRule="atLeast"/>
        </w:trPr>
        <w:tc>
          <w:tcPr>
            <w:tcW w:w="1149"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hint="eastAsia" w:ascii="宋体" w:hAnsi="宋体" w:cs="Arial"/>
                <w:color w:val="000000"/>
                <w:kern w:val="0"/>
                <w:sz w:val="22"/>
                <w:szCs w:val="22"/>
                <w:lang w:val="en-US" w:eastAsia="zh-CN"/>
              </w:rPr>
              <w:t>598.01</w:t>
            </w:r>
          </w:p>
        </w:tc>
        <w:tc>
          <w:tcPr>
            <w:tcW w:w="993"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hint="eastAsia" w:ascii="宋体" w:hAnsi="宋体" w:cs="Arial"/>
                <w:color w:val="000000"/>
                <w:kern w:val="0"/>
                <w:sz w:val="22"/>
                <w:szCs w:val="22"/>
                <w:lang w:val="en-US" w:eastAsia="zh-CN"/>
              </w:rPr>
              <w:t>598.01</w:t>
            </w:r>
          </w:p>
        </w:tc>
        <w:tc>
          <w:tcPr>
            <w:tcW w:w="99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宋体" w:hAnsi="宋体" w:eastAsia="宋体" w:cs="宋体"/>
                <w:color w:val="000000"/>
                <w:kern w:val="0"/>
                <w:sz w:val="22"/>
                <w:szCs w:val="22"/>
                <w:lang w:val="en-US" w:eastAsia="zh-CN"/>
              </w:rPr>
            </w:pPr>
            <w:r>
              <w:rPr>
                <w:rFonts w:hint="eastAsia" w:ascii="宋体" w:hAnsi="宋体" w:cs="Arial"/>
                <w:color w:val="000000"/>
                <w:kern w:val="0"/>
                <w:sz w:val="22"/>
                <w:szCs w:val="22"/>
                <w:lang w:val="en-US" w:eastAsia="zh-CN"/>
              </w:rPr>
              <w:t>598.01</w:t>
            </w:r>
          </w:p>
        </w:tc>
        <w:tc>
          <w:tcPr>
            <w:tcW w:w="65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39"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6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39"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286"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65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CellMar>
            <w:top w:w="15" w:type="dxa"/>
            <w:left w:w="108" w:type="dxa"/>
            <w:bottom w:w="15" w:type="dxa"/>
            <w:right w:w="108" w:type="dxa"/>
          </w:tblCellMar>
        </w:tblPrEx>
        <w:trPr>
          <w:trHeight w:val="286"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65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tabs>
                <w:tab w:val="left" w:pos="644"/>
              </w:tabs>
              <w:ind w:right="132" w:rightChars="63"/>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CellMar>
            <w:top w:w="15" w:type="dxa"/>
            <w:left w:w="108" w:type="dxa"/>
            <w:bottom w:w="15" w:type="dxa"/>
            <w:right w:w="108" w:type="dxa"/>
          </w:tblCellMar>
        </w:tblPrEx>
        <w:trPr>
          <w:trHeight w:val="286"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65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CellMar>
            <w:top w:w="15" w:type="dxa"/>
            <w:left w:w="108" w:type="dxa"/>
            <w:bottom w:w="15" w:type="dxa"/>
            <w:right w:w="108" w:type="dxa"/>
          </w:tblCellMar>
        </w:tblPrEx>
        <w:trPr>
          <w:trHeight w:val="286"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65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CellMar>
            <w:top w:w="15" w:type="dxa"/>
            <w:left w:w="108" w:type="dxa"/>
            <w:bottom w:w="15" w:type="dxa"/>
            <w:right w:w="108" w:type="dxa"/>
          </w:tblCellMar>
        </w:tblPrEx>
        <w:trPr>
          <w:trHeight w:val="286"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65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CellMar>
            <w:top w:w="15" w:type="dxa"/>
            <w:left w:w="108" w:type="dxa"/>
            <w:bottom w:w="15" w:type="dxa"/>
            <w:right w:w="108" w:type="dxa"/>
          </w:tblCellMar>
        </w:tblPrEx>
        <w:trPr>
          <w:trHeight w:val="286"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65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rPr>
          <w:trHeight w:val="286"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65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bl>
    <w:p>
      <w:pPr>
        <w:widowControl/>
        <w:ind w:firstLine="627" w:firstLineChars="196"/>
        <w:jc w:val="left"/>
        <w:outlineLvl w:val="1"/>
        <w:rPr>
          <w:rFonts w:ascii="黑体" w:hAnsi="宋体" w:eastAsia="黑体"/>
          <w:b/>
          <w:bCs/>
          <w:kern w:val="0"/>
          <w:sz w:val="32"/>
          <w:szCs w:val="32"/>
        </w:rPr>
      </w:pPr>
      <w:r>
        <w:rPr>
          <w:rFonts w:hint="eastAsia" w:ascii="黑体" w:hAnsi="宋体" w:eastAsia="黑体"/>
          <w:b/>
          <w:bCs/>
          <w:kern w:val="0"/>
          <w:sz w:val="32"/>
          <w:szCs w:val="32"/>
        </w:rPr>
        <w:t>九、部门支出总表</w:t>
      </w:r>
    </w:p>
    <w:p>
      <w:pPr>
        <w:widowControl/>
        <w:jc w:val="center"/>
        <w:outlineLvl w:val="1"/>
        <w:rPr>
          <w:rFonts w:ascii="仿宋_GB2312" w:hAnsi="宋体" w:eastAsia="仿宋_GB2312"/>
          <w:b/>
          <w:bCs/>
          <w:kern w:val="0"/>
          <w:sz w:val="36"/>
          <w:szCs w:val="36"/>
        </w:rPr>
      </w:pPr>
      <w:r>
        <w:rPr>
          <w:rFonts w:hint="eastAsia" w:ascii="仿宋_GB2312" w:hAnsi="宋体" w:eastAsia="仿宋_GB2312"/>
          <w:b/>
          <w:bCs/>
          <w:kern w:val="0"/>
          <w:sz w:val="36"/>
          <w:szCs w:val="36"/>
        </w:rPr>
        <w:t>部门支出总表</w:t>
      </w:r>
    </w:p>
    <w:p>
      <w:pPr>
        <w:rPr>
          <w:szCs w:val="21"/>
        </w:rPr>
      </w:pPr>
      <w:r>
        <w:rPr>
          <w:rFonts w:hint="eastAsia" w:ascii="仿宋_GB2312" w:hAnsi="宋体" w:eastAsia="仿宋_GB2312"/>
          <w:kern w:val="0"/>
          <w:sz w:val="32"/>
          <w:szCs w:val="32"/>
        </w:rPr>
        <w:t xml:space="preserve">                                                                           单位：万元</w:t>
      </w:r>
    </w:p>
    <w:tbl>
      <w:tblPr>
        <w:tblStyle w:val="6"/>
        <w:tblW w:w="13833" w:type="dxa"/>
        <w:tblInd w:w="93" w:type="dxa"/>
        <w:tblLayout w:type="fixed"/>
        <w:tblCellMar>
          <w:top w:w="15" w:type="dxa"/>
          <w:left w:w="108" w:type="dxa"/>
          <w:bottom w:w="15" w:type="dxa"/>
          <w:right w:w="108" w:type="dxa"/>
        </w:tblCellMar>
      </w:tblPr>
      <w:tblGrid>
        <w:gridCol w:w="1995"/>
        <w:gridCol w:w="1317"/>
        <w:gridCol w:w="1317"/>
        <w:gridCol w:w="1317"/>
        <w:gridCol w:w="1316"/>
        <w:gridCol w:w="1316"/>
        <w:gridCol w:w="1316"/>
        <w:gridCol w:w="1316"/>
        <w:gridCol w:w="1316"/>
        <w:gridCol w:w="1307"/>
      </w:tblGrid>
      <w:tr>
        <w:tblPrEx>
          <w:tblCellMar>
            <w:top w:w="15" w:type="dxa"/>
            <w:left w:w="108" w:type="dxa"/>
            <w:bottom w:w="15" w:type="dxa"/>
            <w:right w:w="108" w:type="dxa"/>
          </w:tblCellMar>
        </w:tblPrEx>
        <w:trPr>
          <w:trHeight w:val="78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本年支出合计</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行政支出</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经营支出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对附属单位补助支出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投资支出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债务还本支出</w:t>
            </w:r>
          </w:p>
        </w:tc>
        <w:tc>
          <w:tcPr>
            <w:tcW w:w="130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其他支出</w:t>
            </w: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2050202</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Arial"/>
                <w:color w:val="000000"/>
                <w:kern w:val="0"/>
                <w:sz w:val="22"/>
                <w:szCs w:val="22"/>
              </w:rPr>
              <w:t>435.57</w:t>
            </w: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宋体" w:hAnsi="宋体" w:cs="宋体"/>
                <w:color w:val="000000"/>
                <w:kern w:val="0"/>
                <w:sz w:val="18"/>
                <w:szCs w:val="18"/>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Arial"/>
                <w:color w:val="000000"/>
                <w:kern w:val="0"/>
                <w:sz w:val="22"/>
                <w:szCs w:val="22"/>
              </w:rPr>
              <w:t>435.57</w:t>
            </w: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c>
          <w:tcPr>
            <w:tcW w:w="131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0"/>
                <w:szCs w:val="20"/>
              </w:rPr>
            </w:pPr>
            <w:r>
              <w:rPr>
                <w:rFonts w:hint="eastAsia" w:ascii="宋体" w:hAnsi="宋体" w:cs="宋体"/>
                <w:color w:val="000000"/>
                <w:kern w:val="0"/>
                <w:sz w:val="20"/>
                <w:szCs w:val="20"/>
              </w:rPr>
              <w:t>2080502</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5.40</w:t>
            </w: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5.40</w:t>
            </w: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0"/>
                <w:szCs w:val="20"/>
              </w:rPr>
            </w:pPr>
            <w:r>
              <w:rPr>
                <w:rFonts w:hint="eastAsia" w:ascii="宋体" w:hAnsi="宋体" w:cs="宋体"/>
                <w:color w:val="000000"/>
                <w:kern w:val="0"/>
                <w:sz w:val="20"/>
                <w:szCs w:val="20"/>
              </w:rPr>
              <w:t>2080505</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64.94</w:t>
            </w: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64.94</w:t>
            </w: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0"/>
                <w:szCs w:val="20"/>
              </w:rPr>
            </w:pPr>
            <w:r>
              <w:rPr>
                <w:rFonts w:hint="eastAsia" w:ascii="宋体" w:hAnsi="宋体" w:cs="宋体"/>
                <w:color w:val="000000"/>
                <w:kern w:val="0"/>
                <w:sz w:val="20"/>
                <w:szCs w:val="20"/>
              </w:rPr>
              <w:t>2080506</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25.98</w:t>
            </w: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25.98</w:t>
            </w: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0"/>
                <w:szCs w:val="20"/>
              </w:rPr>
            </w:pPr>
            <w:r>
              <w:rPr>
                <w:rFonts w:hint="eastAsia" w:ascii="宋体" w:hAnsi="宋体" w:cs="宋体"/>
                <w:color w:val="000000"/>
                <w:kern w:val="0"/>
                <w:sz w:val="20"/>
                <w:szCs w:val="20"/>
              </w:rPr>
              <w:t>2101102</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25.98</w:t>
            </w: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25.98</w:t>
            </w: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20"/>
                <w:szCs w:val="20"/>
              </w:rPr>
            </w:pPr>
            <w:r>
              <w:rPr>
                <w:rFonts w:hint="eastAsia" w:ascii="宋体" w:hAnsi="宋体" w:cs="宋体"/>
                <w:color w:val="000000"/>
                <w:kern w:val="0"/>
                <w:sz w:val="20"/>
                <w:szCs w:val="20"/>
              </w:rPr>
              <w:t>2210201</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40.14</w:t>
            </w: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40.14</w:t>
            </w: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bookmarkStart w:id="0" w:name="_GoBack"/>
            <w:bookmarkEnd w:id="0"/>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r>
              <w:rPr>
                <w:rFonts w:hint="eastAsia" w:ascii="Calibri" w:hAnsi="Calibri" w:cs="宋体"/>
                <w:color w:val="000000"/>
                <w:kern w:val="0"/>
                <w:sz w:val="22"/>
                <w:szCs w:val="22"/>
              </w:rPr>
              <w:t>合计</w:t>
            </w: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r>
              <w:rPr>
                <w:rFonts w:hint="eastAsia" w:ascii="宋体" w:hAnsi="宋体" w:cs="Arial"/>
                <w:color w:val="000000"/>
                <w:kern w:val="0"/>
                <w:sz w:val="22"/>
                <w:szCs w:val="22"/>
              </w:rPr>
              <w:t>598.01</w:t>
            </w: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r>
              <w:rPr>
                <w:rFonts w:hint="eastAsia" w:ascii="宋体" w:hAnsi="宋体" w:cs="Arial"/>
                <w:color w:val="000000"/>
                <w:kern w:val="0"/>
                <w:sz w:val="22"/>
                <w:szCs w:val="22"/>
              </w:rPr>
              <w:t>598.01</w:t>
            </w: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eastAsia"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eastAsia" w:ascii="宋体" w:hAnsi="宋体" w:cs="Arial"/>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eastAsia" w:ascii="宋体" w:hAnsi="宋体" w:cs="Arial"/>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bl>
    <w:p>
      <w:pPr>
        <w:sectPr>
          <w:pgSz w:w="16838" w:h="11906" w:orient="landscape"/>
          <w:pgMar w:top="1701" w:right="1440" w:bottom="1701" w:left="1440" w:header="851" w:footer="992" w:gutter="0"/>
          <w:cols w:space="720" w:num="1"/>
          <w:docGrid w:type="linesAndChars" w:linePitch="312" w:charSpace="0"/>
        </w:sectPr>
      </w:pPr>
    </w:p>
    <w:p>
      <w:pPr>
        <w:widowControl/>
        <w:ind w:left="4514" w:hanging="4514" w:hangingChars="1249"/>
        <w:jc w:val="center"/>
        <w:outlineLvl w:val="1"/>
        <w:rPr>
          <w:rFonts w:ascii="仿宋_GB2312" w:hAnsi="宋体" w:eastAsia="仿宋_GB2312"/>
          <w:b/>
          <w:bCs/>
          <w:kern w:val="0"/>
          <w:sz w:val="36"/>
          <w:szCs w:val="36"/>
        </w:rPr>
      </w:pPr>
      <w:r>
        <w:rPr>
          <w:rFonts w:hint="eastAsia" w:ascii="仿宋_GB2312" w:hAnsi="宋体" w:eastAsia="仿宋_GB2312"/>
          <w:b/>
          <w:bCs/>
          <w:kern w:val="0"/>
          <w:sz w:val="36"/>
          <w:szCs w:val="36"/>
        </w:rPr>
        <w:t>银川市金凤区第六小学2020年部门预算</w:t>
      </w:r>
    </w:p>
    <w:p>
      <w:pPr>
        <w:widowControl/>
        <w:ind w:left="4514" w:hanging="4514" w:hangingChars="1249"/>
        <w:jc w:val="center"/>
        <w:outlineLvl w:val="1"/>
        <w:rPr>
          <w:rFonts w:ascii="仿宋_GB2312" w:hAnsi="宋体" w:eastAsia="仿宋_GB2312"/>
          <w:b/>
          <w:bCs/>
          <w:kern w:val="0"/>
          <w:sz w:val="36"/>
          <w:szCs w:val="36"/>
        </w:rPr>
      </w:pPr>
      <w:r>
        <w:rPr>
          <w:rFonts w:hint="eastAsia" w:ascii="仿宋_GB2312" w:hAnsi="宋体" w:eastAsia="仿宋_GB2312"/>
          <w:b/>
          <w:bCs/>
          <w:kern w:val="0"/>
          <w:sz w:val="36"/>
          <w:szCs w:val="36"/>
        </w:rPr>
        <w:t>——部门预算情况说明</w:t>
      </w:r>
    </w:p>
    <w:p>
      <w:pPr>
        <w:widowControl/>
        <w:jc w:val="left"/>
        <w:outlineLvl w:val="1"/>
        <w:rPr>
          <w:rFonts w:ascii="仿宋_GB2312" w:hAnsi="宋体" w:eastAsia="仿宋_GB2312"/>
          <w:b/>
          <w:bCs/>
          <w:kern w:val="0"/>
          <w:sz w:val="36"/>
          <w:szCs w:val="36"/>
        </w:rPr>
      </w:pPr>
    </w:p>
    <w:p>
      <w:pPr>
        <w:widowControl/>
        <w:spacing w:line="560" w:lineRule="exact"/>
        <w:ind w:firstLine="643" w:firstLineChars="200"/>
        <w:jc w:val="left"/>
        <w:rPr>
          <w:rFonts w:ascii="黑体" w:eastAsia="黑体" w:cs="宋体"/>
          <w:b/>
          <w:bCs/>
          <w:kern w:val="0"/>
          <w:sz w:val="32"/>
          <w:szCs w:val="32"/>
        </w:rPr>
      </w:pPr>
      <w:r>
        <w:rPr>
          <w:rFonts w:hint="eastAsia" w:ascii="黑体" w:eastAsia="黑体" w:cs="宋体"/>
          <w:b/>
          <w:bCs/>
          <w:kern w:val="0"/>
          <w:sz w:val="32"/>
          <w:szCs w:val="32"/>
        </w:rPr>
        <w:t>一、关于银川市金凤区第六小学2020年财政拨款收支预算情况的总体说明</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银川市金凤区第六小学2020年财政拨款收入预算598.01万元，其中：本年收入598.01万元，包括一般公共预算拨款598.01万元，政府性基金预算拨款0万元；上年结转结余0万元。支出预算598.01万元，包括：按政府收支分类功能科目逐项说明。如，教育支出435.57万元、社会保障和就业支出96.32万元、卫生健康支出25.98万元、住房保障支出40.14万元。</w:t>
      </w:r>
    </w:p>
    <w:p>
      <w:pPr>
        <w:widowControl/>
        <w:spacing w:line="560" w:lineRule="exact"/>
        <w:ind w:firstLine="480"/>
        <w:jc w:val="left"/>
        <w:rPr>
          <w:rFonts w:ascii="黑体" w:hAnsi="宋体" w:eastAsia="黑体" w:cs="宋体"/>
          <w:b/>
          <w:bCs/>
          <w:kern w:val="0"/>
          <w:sz w:val="32"/>
          <w:szCs w:val="32"/>
        </w:rPr>
      </w:pPr>
      <w:r>
        <w:rPr>
          <w:rFonts w:hint="eastAsia" w:ascii="黑体" w:hAnsi="宋体" w:eastAsia="黑体" w:cs="宋体"/>
          <w:b/>
          <w:bCs/>
          <w:kern w:val="0"/>
          <w:sz w:val="32"/>
          <w:szCs w:val="32"/>
        </w:rPr>
        <w:t>二、关于</w:t>
      </w:r>
      <w:r>
        <w:rPr>
          <w:rFonts w:hint="eastAsia" w:ascii="黑体" w:eastAsia="黑体" w:cs="宋体"/>
          <w:b/>
          <w:bCs/>
          <w:kern w:val="0"/>
          <w:sz w:val="32"/>
          <w:szCs w:val="32"/>
        </w:rPr>
        <w:t>银川市金凤区第六小学</w:t>
      </w:r>
      <w:r>
        <w:rPr>
          <w:rFonts w:hint="eastAsia" w:ascii="黑体" w:hAnsi="宋体" w:eastAsia="黑体" w:cs="宋体"/>
          <w:b/>
          <w:bCs/>
          <w:kern w:val="0"/>
          <w:sz w:val="32"/>
          <w:szCs w:val="32"/>
        </w:rPr>
        <w:t>2020年一般公共预算财政拨款支出情况说明</w:t>
      </w:r>
    </w:p>
    <w:p>
      <w:pPr>
        <w:widowControl/>
        <w:spacing w:line="560" w:lineRule="exact"/>
        <w:ind w:firstLine="480"/>
        <w:jc w:val="left"/>
        <w:rPr>
          <w:rFonts w:ascii="楷体_GB2312" w:hAnsi="宋体" w:eastAsia="楷体_GB2312" w:cs="宋体"/>
          <w:b/>
          <w:bCs/>
          <w:kern w:val="0"/>
          <w:sz w:val="32"/>
          <w:szCs w:val="32"/>
        </w:rPr>
      </w:pPr>
      <w:r>
        <w:rPr>
          <w:rFonts w:hint="eastAsia" w:ascii="楷体_GB2312" w:hAnsi="宋体" w:eastAsia="楷体_GB2312" w:cs="宋体"/>
          <w:b/>
          <w:bCs/>
          <w:kern w:val="0"/>
          <w:sz w:val="32"/>
          <w:szCs w:val="32"/>
        </w:rPr>
        <w:t>（一）基本支出情况说明</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银川市金凤区第六小学2020年一般公共预算财政拨款基本支出594.99万元，其中：本年收入安排支出594.99万元，上年结转资金安排支出0万元。比2019年执行数（决算数）减少15.46万元，下降3.42%。</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人员经费566.31万元，主要包括：按部门支出经济分类科目分项说明。如，基本工资191.06万元、津贴补贴106.72万元、奖金：68.80万元、绩效工资：31.90万元、机关事业单位基本养老保险缴费64.94万元、职业年金缴费25.98万元、职工基本医疗保险缴费25.98万元、其他社会保障缴费5.39万元、住房公积金：40.14万元、退休费：5.40万元；</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公用经费28.68万元，主要包括：按部门支出经济分类科目分项说明。如，办公费：3.00万元、印刷费：2.00万元、水费：1.00万元、电费：1.00万元、物业管理费0.3万元、维修（护）费3.65万元、培训费：2.00万元、工会经费：6.18万元、福利费：0.15万元。</w:t>
      </w:r>
    </w:p>
    <w:p>
      <w:pPr>
        <w:widowControl/>
        <w:spacing w:line="560" w:lineRule="exact"/>
        <w:ind w:firstLine="480"/>
        <w:jc w:val="left"/>
        <w:rPr>
          <w:rFonts w:ascii="楷体_GB2312" w:hAnsi="宋体" w:eastAsia="楷体_GB2312" w:cs="宋体"/>
          <w:b/>
          <w:bCs/>
          <w:kern w:val="0"/>
          <w:sz w:val="32"/>
          <w:szCs w:val="32"/>
        </w:rPr>
      </w:pPr>
      <w:r>
        <w:rPr>
          <w:rFonts w:hint="eastAsia" w:ascii="楷体_GB2312" w:hAnsi="宋体" w:eastAsia="楷体_GB2312" w:cs="宋体"/>
          <w:b/>
          <w:bCs/>
          <w:kern w:val="0"/>
          <w:sz w:val="32"/>
          <w:szCs w:val="32"/>
        </w:rPr>
        <w:t>（二）项目支出情况说明</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银川市金凤区第六小学2020年一般公共预算财政拨款项目支出11.54万元，其中：本年收入安排支出3.02万元，上年结转结余资金安排支出0万元。包括：按政府收支科目类、款、项，用途分项说明。如，</w:t>
      </w:r>
      <w:r>
        <w:rPr>
          <w:rFonts w:hint="eastAsia" w:ascii="仿宋" w:hAnsi="仿宋" w:eastAsia="仿宋"/>
          <w:kern w:val="0"/>
          <w:sz w:val="32"/>
          <w:szCs w:val="32"/>
        </w:rPr>
        <w:t>教育支出（类）普通教育（款）小学教育（项）2020年预算3.02万元，</w:t>
      </w:r>
      <w:r>
        <w:rPr>
          <w:rFonts w:hint="eastAsia" w:ascii="仿宋" w:hAnsi="仿宋" w:eastAsia="仿宋" w:cs="宋体"/>
          <w:kern w:val="0"/>
          <w:sz w:val="32"/>
          <w:szCs w:val="32"/>
        </w:rPr>
        <w:t>比2019年执行数（决算数）3.01万元基本持平，增加0.01万元，增长0.3%。必须按功能分类项级科目逐项说明。</w:t>
      </w:r>
    </w:p>
    <w:p>
      <w:pPr>
        <w:widowControl/>
        <w:spacing w:line="560" w:lineRule="exact"/>
        <w:ind w:firstLine="480"/>
        <w:jc w:val="left"/>
        <w:rPr>
          <w:rFonts w:ascii="黑体" w:hAnsi="宋体" w:eastAsia="黑体" w:cs="宋体"/>
          <w:b/>
          <w:bCs/>
          <w:kern w:val="0"/>
          <w:sz w:val="32"/>
          <w:szCs w:val="32"/>
        </w:rPr>
      </w:pPr>
      <w:r>
        <w:rPr>
          <w:rFonts w:hint="eastAsia" w:ascii="黑体" w:hAnsi="宋体" w:eastAsia="黑体" w:cs="宋体"/>
          <w:b/>
          <w:bCs/>
          <w:kern w:val="0"/>
          <w:sz w:val="32"/>
          <w:szCs w:val="32"/>
        </w:rPr>
        <w:t>三、关于银川市金凤区第六小学2020年一般公共预算财政拨款“三公”经费预算情况说明</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银川市金凤区第六小学2020年“三公”经费财政拨款预算数为0万元，其中：因公出国（境）费0万元，公务用车购置0万元，公务用车运行费0万元，公务接待费0万元。</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因上年度和本年度都无三公经费支出，所以没有增减变化情况。</w:t>
      </w:r>
    </w:p>
    <w:p>
      <w:pPr>
        <w:widowControl/>
        <w:spacing w:line="560" w:lineRule="exact"/>
        <w:ind w:firstLine="480"/>
        <w:jc w:val="left"/>
        <w:rPr>
          <w:rFonts w:ascii="黑体" w:hAnsi="宋体" w:eastAsia="黑体" w:cs="宋体"/>
          <w:b/>
          <w:bCs/>
          <w:kern w:val="0"/>
          <w:sz w:val="32"/>
          <w:szCs w:val="32"/>
        </w:rPr>
      </w:pPr>
      <w:r>
        <w:rPr>
          <w:rFonts w:hint="eastAsia" w:ascii="黑体" w:hAnsi="宋体" w:eastAsia="黑体" w:cs="宋体"/>
          <w:b/>
          <w:bCs/>
          <w:kern w:val="0"/>
          <w:sz w:val="32"/>
          <w:szCs w:val="32"/>
        </w:rPr>
        <w:t>四、关于银川市金凤区第六小学2020年政府性基金预算拨款情况说明</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银川市金凤区第六小学2020年无政府性基金预算财政拨款收支。</w:t>
      </w:r>
    </w:p>
    <w:p>
      <w:pPr>
        <w:widowControl/>
        <w:spacing w:line="560" w:lineRule="exact"/>
        <w:ind w:firstLine="643" w:firstLineChars="200"/>
        <w:jc w:val="left"/>
        <w:rPr>
          <w:rFonts w:ascii="黑体" w:hAnsi="宋体" w:eastAsia="黑体" w:cs="宋体"/>
          <w:b/>
          <w:bCs/>
          <w:kern w:val="0"/>
          <w:sz w:val="32"/>
          <w:szCs w:val="32"/>
        </w:rPr>
      </w:pPr>
      <w:r>
        <w:rPr>
          <w:rFonts w:hint="eastAsia" w:ascii="黑体" w:hAnsi="宋体" w:eastAsia="黑体" w:cs="宋体"/>
          <w:b/>
          <w:bCs/>
          <w:kern w:val="0"/>
          <w:sz w:val="32"/>
          <w:szCs w:val="32"/>
        </w:rPr>
        <w:t>五、关于银川市金凤区第六小学2020年收支预算情况的总体说明</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银川市金凤区良田镇泾龙回民小学2020年收入总预算    598.01万元，其中：本年收入598.01万元，上年结转结余0万元；支出总预算598.01万元，其中：本年支出598.01万元，年末结转结余0 万元。</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本年收入包括：财政拨款预算收入598.01万元，占100%；事业预算收入0万元，占0%；上级补助预算收入0万元，占0%；附属单位上缴预算收入0万元，占0 %；经营预算收入0万元，占0%；债务预算收入0万元，占0%；非同级财政拨款预算收入0万元，占0%；投资预算收益0万元，占0 %；其他预算收入0万元，占0%。</w:t>
      </w:r>
    </w:p>
    <w:p>
      <w:pPr>
        <w:widowControl/>
        <w:spacing w:line="560" w:lineRule="exact"/>
        <w:ind w:left="178" w:leftChars="85" w:firstLine="361" w:firstLineChars="113"/>
        <w:jc w:val="left"/>
        <w:rPr>
          <w:rFonts w:ascii="仿宋" w:hAnsi="仿宋" w:eastAsia="仿宋" w:cs="宋体"/>
          <w:kern w:val="0"/>
          <w:sz w:val="32"/>
          <w:szCs w:val="32"/>
        </w:rPr>
      </w:pPr>
      <w:r>
        <w:rPr>
          <w:rFonts w:hint="eastAsia" w:ascii="仿宋" w:hAnsi="仿宋" w:eastAsia="仿宋" w:cs="宋体"/>
          <w:kern w:val="0"/>
          <w:sz w:val="32"/>
          <w:szCs w:val="32"/>
        </w:rPr>
        <w:t>本年支出包括：行政支出0万元，占0%；事业支出598.01万元，占100%；经营支出0万元，占0%；上缴上级支出0万元，占0 %；对附属单位补助支出0万元，占0%；投资支出0万元，占0%；债务还本支出0万元，占0%；其他支出0万元，占0 %。</w:t>
      </w:r>
    </w:p>
    <w:p>
      <w:pPr>
        <w:widowControl/>
        <w:spacing w:line="560" w:lineRule="exact"/>
        <w:ind w:firstLine="480"/>
        <w:jc w:val="left"/>
        <w:rPr>
          <w:rFonts w:ascii="黑体" w:hAnsi="宋体" w:eastAsia="黑体" w:cs="宋体"/>
          <w:b/>
          <w:bCs/>
          <w:kern w:val="0"/>
          <w:sz w:val="32"/>
          <w:szCs w:val="32"/>
        </w:rPr>
      </w:pPr>
    </w:p>
    <w:p>
      <w:pPr>
        <w:widowControl/>
        <w:spacing w:line="560" w:lineRule="exact"/>
        <w:ind w:firstLine="480"/>
        <w:jc w:val="left"/>
        <w:rPr>
          <w:rFonts w:ascii="黑体" w:hAnsi="宋体" w:eastAsia="黑体" w:cs="宋体"/>
          <w:b/>
          <w:bCs/>
          <w:kern w:val="0"/>
          <w:sz w:val="32"/>
          <w:szCs w:val="32"/>
        </w:rPr>
      </w:pPr>
      <w:r>
        <w:rPr>
          <w:rFonts w:hint="eastAsia" w:ascii="黑体" w:hAnsi="宋体" w:eastAsia="黑体" w:cs="宋体"/>
          <w:b/>
          <w:bCs/>
          <w:kern w:val="0"/>
          <w:sz w:val="32"/>
          <w:szCs w:val="32"/>
        </w:rPr>
        <w:t>六、其他重要事项的情况说明</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（一）机关运行经费</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2020年，银川市金凤区第六小学本级及所属等0个行政单位和0个参公管理事业单位的机关运行经费财政拨款预算0 万元，比2019年预算增加（减少）0万元，增长（下降）0 %。主要原因是：我校属全额拨款事业单位，无机关运行经费。</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（二）政府采购情况</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2020年，银川市金凤区第六小学政府采购预算0万元，其中：政府采购货物预算0万元，政府采购工程预算0万元，政府采购服务预算0万元。</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（三）国有资产占用使用情况</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截至2019年12月31日，银川市金凤区第六小学占用使用国有资产总体情况为房屋3997平方米，价值276.21万元；比上年减少2169平方米，主要是危房折除重建。土地0平方米，价值0万元；车辆0辆，价值   0万元；办公家具价值64.82万元；其他资产价值311.30万元。国有资产分布情况为：</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本级部门房屋3997平方米，价值276.21万元；土地0平方米，价值0万元；车辆0辆，价值0万元；办公家具价值64.82万元；其他资产价值311.30万元。</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所属单位房屋0平方米，价值0万元；土地0平方米，价值0万元；车辆0辆，价值0万元；办公家具价值0万元；其他资产价值0万元。</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（四）预算绩效情况</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2020年银川市金凤区第六小学重点项目绩效评价：</w:t>
      </w:r>
      <w:r>
        <w:rPr>
          <w:rFonts w:hint="eastAsia" w:ascii="仿宋_GB2312" w:hAnsi="宋体" w:eastAsia="仿宋_GB2312" w:cs="宋体"/>
          <w:kern w:val="0"/>
          <w:sz w:val="32"/>
          <w:szCs w:val="32"/>
        </w:rPr>
        <w:t>我校坚持每年召开教代会审议预算，学校制定了部门预算绩效考核暂行办法，启动并推进预算资金的使用、监管，每年将学校执行预算的情况向教代会报告，不断提升预算的刚性，强化“先有预算才开支，超过预算标准不开支”的理念，促进学校提升整体管理水平。</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（五）其他需说明的事项：无。</w:t>
      </w:r>
    </w:p>
    <w:p>
      <w:pPr>
        <w:widowControl/>
        <w:spacing w:line="560" w:lineRule="exact"/>
        <w:ind w:firstLine="480"/>
        <w:jc w:val="left"/>
        <w:rPr>
          <w:rFonts w:ascii="仿宋_GB2312" w:hAnsi="宋体" w:eastAsia="仿宋_GB2312" w:cs="宋体"/>
          <w:kern w:val="0"/>
          <w:sz w:val="32"/>
          <w:szCs w:val="32"/>
        </w:rPr>
      </w:pPr>
    </w:p>
    <w:p>
      <w:pPr>
        <w:widowControl/>
        <w:jc w:val="center"/>
        <w:outlineLvl w:val="1"/>
        <w:rPr>
          <w:rFonts w:ascii="仿宋_GB2312" w:hAnsi="宋体" w:eastAsia="仿宋_GB2312"/>
          <w:b/>
          <w:bCs/>
          <w:kern w:val="0"/>
          <w:sz w:val="36"/>
          <w:szCs w:val="36"/>
        </w:rPr>
      </w:pPr>
      <w:r>
        <w:rPr>
          <w:rFonts w:hint="eastAsia" w:ascii="仿宋_GB2312" w:hAnsi="宋体" w:eastAsia="仿宋_GB2312"/>
          <w:b/>
          <w:bCs/>
          <w:kern w:val="0"/>
          <w:sz w:val="36"/>
          <w:szCs w:val="36"/>
        </w:rPr>
        <w:t>银川市金凤区第六小学2020年部门预算—名词解释</w:t>
      </w:r>
    </w:p>
    <w:p>
      <w:pPr>
        <w:widowControl/>
        <w:jc w:val="left"/>
        <w:outlineLvl w:val="1"/>
        <w:rPr>
          <w:rFonts w:ascii="仿宋_GB2312" w:hAnsi="宋体" w:eastAsia="仿宋_GB2312"/>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一、支出功能分类科目编码、名称</w:t>
      </w:r>
      <w:r>
        <w:rPr>
          <w:rFonts w:hint="eastAsia" w:ascii="仿宋" w:hAnsi="仿宋" w:eastAsia="仿宋" w:cs="宋体"/>
          <w:kern w:val="0"/>
          <w:sz w:val="32"/>
          <w:szCs w:val="32"/>
        </w:rPr>
        <w:t>：按照《2020年政府收支分类科目》“类”、“款”、“项”的编码和名称填列</w:t>
      </w:r>
      <w:r>
        <w:rPr>
          <w:rFonts w:hint="eastAsia" w:ascii="宋体" w:hAnsi="宋体" w:eastAsia="仿宋" w:cs="宋体"/>
          <w:kern w:val="0"/>
          <w:sz w:val="32"/>
          <w:szCs w:val="32"/>
        </w:rPr>
        <w:t>。</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二、年初结转和结余</w:t>
      </w:r>
      <w:r>
        <w:rPr>
          <w:rFonts w:hint="eastAsia" w:ascii="仿宋" w:hAnsi="仿宋" w:eastAsia="仿宋" w:cs="宋体"/>
          <w:kern w:val="0"/>
          <w:sz w:val="32"/>
          <w:szCs w:val="32"/>
        </w:rPr>
        <w:t>：是指单位上年结转本年使用的基本支出结转、项目支出结转和结余和经营结余。</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三、基本支出结转</w:t>
      </w:r>
      <w:r>
        <w:rPr>
          <w:rFonts w:hint="eastAsia" w:ascii="仿宋" w:hAnsi="仿宋" w:eastAsia="仿宋" w:cs="宋体"/>
          <w:kern w:val="0"/>
          <w:sz w:val="32"/>
          <w:szCs w:val="32"/>
        </w:rPr>
        <w:t>：是指单位基本支出收支相抵后结转本年使用的累计余额，包括事业单位未转入事业基金的基本支出结转。</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四、项目支出结转和结余</w:t>
      </w:r>
      <w:r>
        <w:rPr>
          <w:rFonts w:hint="eastAsia" w:ascii="仿宋" w:hAnsi="仿宋" w:eastAsia="仿宋" w:cs="宋体"/>
          <w:kern w:val="0"/>
          <w:sz w:val="32"/>
          <w:szCs w:val="32"/>
        </w:rPr>
        <w:t>：是指单位从财政部门或上级单位等取得，需要结转本年继续使用的项目支出收支累计余额。</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五、基本建设资金结转和结余</w:t>
      </w:r>
      <w:r>
        <w:rPr>
          <w:rFonts w:hint="eastAsia" w:ascii="仿宋" w:hAnsi="仿宋" w:eastAsia="仿宋" w:cs="宋体"/>
          <w:kern w:val="0"/>
          <w:sz w:val="32"/>
          <w:szCs w:val="32"/>
        </w:rPr>
        <w:t>：是指单位基本建设类资金中非偿还性资金结转本年使用的累计余额。</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六、本年收入</w:t>
      </w:r>
      <w:r>
        <w:rPr>
          <w:rFonts w:hint="eastAsia" w:ascii="仿宋" w:hAnsi="仿宋" w:eastAsia="仿宋" w:cs="宋体"/>
          <w:kern w:val="0"/>
          <w:sz w:val="32"/>
          <w:szCs w:val="32"/>
        </w:rPr>
        <w:t>：是指单位本年度取得的全部收入。</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七、本年支出</w:t>
      </w:r>
      <w:r>
        <w:rPr>
          <w:rFonts w:hint="eastAsia" w:ascii="仿宋" w:hAnsi="仿宋" w:eastAsia="仿宋" w:cs="宋体"/>
          <w:kern w:val="0"/>
          <w:sz w:val="32"/>
          <w:szCs w:val="32"/>
        </w:rPr>
        <w:t>：是指单位本年度全部支出。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八、结余分配</w:t>
      </w:r>
      <w:r>
        <w:rPr>
          <w:rFonts w:hint="eastAsia" w:ascii="仿宋" w:hAnsi="仿宋" w:eastAsia="仿宋" w:cs="宋体"/>
          <w:kern w:val="0"/>
          <w:sz w:val="32"/>
          <w:szCs w:val="32"/>
        </w:rPr>
        <w:t>：是指单位当年结余的分配情况。</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九、年末结转和结余</w:t>
      </w:r>
      <w:r>
        <w:rPr>
          <w:rFonts w:hint="eastAsia" w:ascii="仿宋" w:hAnsi="仿宋" w:eastAsia="仿宋" w:cs="宋体"/>
          <w:kern w:val="0"/>
          <w:sz w:val="32"/>
          <w:szCs w:val="32"/>
        </w:rPr>
        <w:t>：是指单位结转下年的基本支出结转、项目支出结转和结余和经营结余。</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十、财政拨款收入</w:t>
      </w:r>
      <w:r>
        <w:rPr>
          <w:rFonts w:hint="eastAsia" w:ascii="仿宋" w:hAnsi="仿宋" w:eastAsia="仿宋" w:cs="宋体"/>
          <w:kern w:val="0"/>
          <w:sz w:val="32"/>
          <w:szCs w:val="32"/>
        </w:rPr>
        <w:t>：是指单位本年度从本级财政部门取得的财政拨款，包括一般公共预算财政拨款和政府性基金预算财政拨款。</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十一、事业收入</w:t>
      </w:r>
      <w:r>
        <w:rPr>
          <w:rFonts w:hint="eastAsia" w:ascii="仿宋" w:hAnsi="仿宋" w:eastAsia="仿宋" w:cs="宋体"/>
          <w:kern w:val="0"/>
          <w:sz w:val="32"/>
          <w:szCs w:val="32"/>
        </w:rPr>
        <w:t>：是指事业单位开展专业业务活动及其辅助活动取得的收入。</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十二、经营收入</w:t>
      </w:r>
      <w:r>
        <w:rPr>
          <w:rFonts w:hint="eastAsia" w:ascii="仿宋" w:hAnsi="仿宋" w:eastAsia="仿宋" w:cs="宋体"/>
          <w:kern w:val="0"/>
          <w:sz w:val="32"/>
          <w:szCs w:val="32"/>
        </w:rPr>
        <w:t>：是指事业单位在专业业务活动及其辅助活动之外开展非独立核算经营活动取得的收入。</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十三、其他收入</w:t>
      </w:r>
      <w:r>
        <w:rPr>
          <w:rFonts w:hint="eastAsia" w:ascii="仿宋" w:hAnsi="仿宋" w:eastAsia="仿宋" w:cs="宋体"/>
          <w:kern w:val="0"/>
          <w:sz w:val="32"/>
          <w:szCs w:val="32"/>
        </w:rPr>
        <w:t>：是指单位取得的除“财政拨款收入”、“事业收入”、“经营收入”等以外的各项收入。</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十四、基本支出</w:t>
      </w:r>
      <w:r>
        <w:rPr>
          <w:rFonts w:hint="eastAsia" w:ascii="仿宋" w:hAnsi="仿宋" w:eastAsia="仿宋" w:cs="宋体"/>
          <w:kern w:val="0"/>
          <w:sz w:val="32"/>
          <w:szCs w:val="32"/>
        </w:rPr>
        <w:t>：是指单位为保障机构正常运转、完成日常工作任务而发生的各项支出。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十五、项目支出</w:t>
      </w:r>
      <w:r>
        <w:rPr>
          <w:rFonts w:hint="eastAsia" w:ascii="仿宋" w:hAnsi="仿宋" w:eastAsia="仿宋" w:cs="宋体"/>
          <w:kern w:val="0"/>
          <w:sz w:val="32"/>
          <w:szCs w:val="32"/>
        </w:rPr>
        <w:t>：是指单位为完成特定的行政工作任务或事业发展目标，在基本支出之外发生的各项支出。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十六、经营支出</w:t>
      </w:r>
      <w:r>
        <w:rPr>
          <w:rFonts w:hint="eastAsia" w:ascii="仿宋" w:hAnsi="仿宋" w:eastAsia="仿宋" w:cs="宋体"/>
          <w:kern w:val="0"/>
          <w:sz w:val="32"/>
          <w:szCs w:val="32"/>
        </w:rPr>
        <w:t>：是指事业单位在专业活动及辅助活动之外开展非独立核算经营活动发生的支出。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十七、人员经费</w:t>
      </w:r>
      <w:r>
        <w:rPr>
          <w:rFonts w:hint="eastAsia" w:ascii="仿宋" w:hAnsi="仿宋" w:eastAsia="仿宋" w:cs="宋体"/>
          <w:kern w:val="0"/>
          <w:sz w:val="32"/>
          <w:szCs w:val="32"/>
        </w:rPr>
        <w:t>：是指单位基本支出中用一般公共预算财政拨款安排的“工资福利支出”和“对个人和家庭的补助”。</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十八、日常公用经费</w:t>
      </w:r>
      <w:r>
        <w:rPr>
          <w:rFonts w:hint="eastAsia" w:ascii="仿宋" w:hAnsi="仿宋" w:eastAsia="仿宋" w:cs="宋体"/>
          <w:kern w:val="0"/>
          <w:sz w:val="32"/>
          <w:szCs w:val="32"/>
        </w:rPr>
        <w:t>：是指单位用一般公共预算财政拨款安排的除人员经费以外的基本支出。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十九、“三公”经费</w:t>
      </w:r>
      <w:r>
        <w:rPr>
          <w:rFonts w:hint="eastAsia" w:ascii="仿宋" w:hAnsi="仿宋" w:eastAsia="仿宋" w:cs="宋体"/>
          <w:kern w:val="0"/>
          <w:sz w:val="32"/>
          <w:szCs w:val="32"/>
        </w:rPr>
        <w:t>：纳入中央财政预决算管理的“三公”经费，是指中央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r>
        <w:rPr>
          <w:rFonts w:hint="eastAsia" w:ascii="宋体" w:hAnsi="宋体" w:eastAsia="仿宋" w:cs="宋体"/>
          <w:kern w:val="0"/>
          <w:sz w:val="32"/>
          <w:szCs w:val="32"/>
        </w:rPr>
        <w:t> </w:t>
      </w:r>
    </w:p>
    <w:p>
      <w:pPr>
        <w:widowControl/>
        <w:spacing w:before="240" w:after="240"/>
        <w:ind w:firstLine="645"/>
        <w:jc w:val="left"/>
        <w:rPr>
          <w:rFonts w:ascii="仿宋" w:hAnsi="仿宋" w:eastAsia="仿宋" w:cs="宋体"/>
          <w:bCs/>
          <w:kern w:val="0"/>
          <w:sz w:val="32"/>
          <w:szCs w:val="32"/>
        </w:rPr>
      </w:pPr>
      <w:r>
        <w:rPr>
          <w:rFonts w:hint="eastAsia" w:ascii="仿宋" w:hAnsi="仿宋" w:eastAsia="仿宋" w:cs="宋体"/>
          <w:b/>
          <w:bCs/>
          <w:kern w:val="0"/>
          <w:sz w:val="32"/>
          <w:szCs w:val="32"/>
        </w:rPr>
        <w:t>二十、机关运行经费：</w:t>
      </w:r>
      <w:r>
        <w:rPr>
          <w:rFonts w:hint="eastAsia" w:ascii="仿宋" w:hAnsi="仿宋" w:eastAsia="仿宋" w:cs="宋体"/>
          <w:bCs/>
          <w:kern w:val="0"/>
          <w:sz w:val="32"/>
          <w:szCs w:val="32"/>
        </w:rPr>
        <w:t>是指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360" w:lineRule="auto"/>
        <w:ind w:firstLine="643" w:firstLineChars="200"/>
        <w:jc w:val="left"/>
        <w:rPr>
          <w:rFonts w:ascii="仿宋" w:hAnsi="仿宋" w:eastAsia="仿宋"/>
          <w:b/>
          <w:kern w:val="0"/>
          <w:sz w:val="32"/>
          <w:szCs w:val="32"/>
        </w:rPr>
      </w:pPr>
      <w:r>
        <w:rPr>
          <w:rFonts w:hint="eastAsia" w:ascii="仿宋" w:hAnsi="仿宋" w:eastAsia="仿宋"/>
          <w:b/>
          <w:kern w:val="0"/>
          <w:sz w:val="32"/>
          <w:szCs w:val="32"/>
        </w:rPr>
        <w:t>请各预算单位按照具体情况选取适用于本单位的名词解释公开即可。</w:t>
      </w:r>
    </w:p>
    <w:p>
      <w:pPr>
        <w:widowControl/>
        <w:spacing w:before="240" w:after="240"/>
        <w:ind w:firstLine="645"/>
        <w:jc w:val="left"/>
        <w:rPr>
          <w:rFonts w:ascii="仿宋" w:hAnsi="仿宋" w:eastAsia="仿宋" w:cs="宋体"/>
          <w:bCs/>
          <w:kern w:val="0"/>
          <w:sz w:val="32"/>
          <w:szCs w:val="32"/>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swiss"/>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楷体_GB2312">
    <w:altName w:val="楷体"/>
    <w:panose1 w:val="00000000000000000000"/>
    <w:charset w:val="86"/>
    <w:family w:val="swiss"/>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23</w:t>
    </w:r>
    <w:r>
      <w:rPr>
        <w:rStyle w:val="9"/>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E5001"/>
    <w:rsid w:val="00002F62"/>
    <w:rsid w:val="000057A8"/>
    <w:rsid w:val="000145BA"/>
    <w:rsid w:val="00043F07"/>
    <w:rsid w:val="0006670E"/>
    <w:rsid w:val="00082CEB"/>
    <w:rsid w:val="000831C0"/>
    <w:rsid w:val="000858CD"/>
    <w:rsid w:val="00095461"/>
    <w:rsid w:val="000C42AF"/>
    <w:rsid w:val="000D6604"/>
    <w:rsid w:val="000D7B37"/>
    <w:rsid w:val="00135137"/>
    <w:rsid w:val="0013519B"/>
    <w:rsid w:val="0015526B"/>
    <w:rsid w:val="00173056"/>
    <w:rsid w:val="001A5F33"/>
    <w:rsid w:val="001A68AF"/>
    <w:rsid w:val="001B3655"/>
    <w:rsid w:val="001C1D11"/>
    <w:rsid w:val="001E2B95"/>
    <w:rsid w:val="0022537E"/>
    <w:rsid w:val="0023640E"/>
    <w:rsid w:val="002C4BD6"/>
    <w:rsid w:val="002E78B6"/>
    <w:rsid w:val="002F53FA"/>
    <w:rsid w:val="00322E88"/>
    <w:rsid w:val="003379A6"/>
    <w:rsid w:val="0035076A"/>
    <w:rsid w:val="00375123"/>
    <w:rsid w:val="003A44E5"/>
    <w:rsid w:val="003B5F79"/>
    <w:rsid w:val="003F169E"/>
    <w:rsid w:val="00423519"/>
    <w:rsid w:val="004379C6"/>
    <w:rsid w:val="00447276"/>
    <w:rsid w:val="004656F2"/>
    <w:rsid w:val="004725D4"/>
    <w:rsid w:val="00484A29"/>
    <w:rsid w:val="00484DD2"/>
    <w:rsid w:val="004858B2"/>
    <w:rsid w:val="004B2681"/>
    <w:rsid w:val="004B35EE"/>
    <w:rsid w:val="004E506D"/>
    <w:rsid w:val="004F05A1"/>
    <w:rsid w:val="00565B9A"/>
    <w:rsid w:val="00571B0D"/>
    <w:rsid w:val="005A4605"/>
    <w:rsid w:val="005C3E29"/>
    <w:rsid w:val="005E4A5E"/>
    <w:rsid w:val="005E514F"/>
    <w:rsid w:val="006005FB"/>
    <w:rsid w:val="00616416"/>
    <w:rsid w:val="0062119E"/>
    <w:rsid w:val="00627DAC"/>
    <w:rsid w:val="0063712A"/>
    <w:rsid w:val="00673569"/>
    <w:rsid w:val="00683EA6"/>
    <w:rsid w:val="0068752C"/>
    <w:rsid w:val="006C056F"/>
    <w:rsid w:val="006C1A70"/>
    <w:rsid w:val="006C5B18"/>
    <w:rsid w:val="006C5E08"/>
    <w:rsid w:val="007224F6"/>
    <w:rsid w:val="00797C6A"/>
    <w:rsid w:val="007A2546"/>
    <w:rsid w:val="007C4986"/>
    <w:rsid w:val="007E5001"/>
    <w:rsid w:val="00806D8F"/>
    <w:rsid w:val="00887F21"/>
    <w:rsid w:val="00892287"/>
    <w:rsid w:val="008C1B56"/>
    <w:rsid w:val="008C415B"/>
    <w:rsid w:val="00914237"/>
    <w:rsid w:val="00926C87"/>
    <w:rsid w:val="00955E13"/>
    <w:rsid w:val="009C5522"/>
    <w:rsid w:val="009E44B6"/>
    <w:rsid w:val="009E5ABF"/>
    <w:rsid w:val="009E648E"/>
    <w:rsid w:val="009F1323"/>
    <w:rsid w:val="00A04D0E"/>
    <w:rsid w:val="00A16743"/>
    <w:rsid w:val="00A24808"/>
    <w:rsid w:val="00A27798"/>
    <w:rsid w:val="00A65AE2"/>
    <w:rsid w:val="00A72DC8"/>
    <w:rsid w:val="00A853C1"/>
    <w:rsid w:val="00AA610F"/>
    <w:rsid w:val="00AB3815"/>
    <w:rsid w:val="00AC24ED"/>
    <w:rsid w:val="00AC560B"/>
    <w:rsid w:val="00AD7672"/>
    <w:rsid w:val="00AE341C"/>
    <w:rsid w:val="00B272E9"/>
    <w:rsid w:val="00B41092"/>
    <w:rsid w:val="00B70EFD"/>
    <w:rsid w:val="00BB6C2F"/>
    <w:rsid w:val="00BE1EE8"/>
    <w:rsid w:val="00BF3EE9"/>
    <w:rsid w:val="00C05188"/>
    <w:rsid w:val="00C32F29"/>
    <w:rsid w:val="00C53A1E"/>
    <w:rsid w:val="00C54A32"/>
    <w:rsid w:val="00CA0B80"/>
    <w:rsid w:val="00CD7874"/>
    <w:rsid w:val="00CE7FCB"/>
    <w:rsid w:val="00CF4C56"/>
    <w:rsid w:val="00D25070"/>
    <w:rsid w:val="00D31A94"/>
    <w:rsid w:val="00D61F97"/>
    <w:rsid w:val="00D62C7C"/>
    <w:rsid w:val="00D66148"/>
    <w:rsid w:val="00D77DE1"/>
    <w:rsid w:val="00D953BC"/>
    <w:rsid w:val="00DA2209"/>
    <w:rsid w:val="00DA2C8F"/>
    <w:rsid w:val="00DB1945"/>
    <w:rsid w:val="00DD5905"/>
    <w:rsid w:val="00E0407D"/>
    <w:rsid w:val="00E21502"/>
    <w:rsid w:val="00E82D24"/>
    <w:rsid w:val="00EB04E5"/>
    <w:rsid w:val="00EB3277"/>
    <w:rsid w:val="00ED10DD"/>
    <w:rsid w:val="00F832C0"/>
    <w:rsid w:val="00FB2A8B"/>
    <w:rsid w:val="0799037E"/>
    <w:rsid w:val="08D17665"/>
    <w:rsid w:val="09913515"/>
    <w:rsid w:val="09B10995"/>
    <w:rsid w:val="0A0C0998"/>
    <w:rsid w:val="0AB451E8"/>
    <w:rsid w:val="0BDC4823"/>
    <w:rsid w:val="0CB36C33"/>
    <w:rsid w:val="0D5C44D3"/>
    <w:rsid w:val="0F853949"/>
    <w:rsid w:val="111F5C9F"/>
    <w:rsid w:val="11442581"/>
    <w:rsid w:val="124263F0"/>
    <w:rsid w:val="1260054E"/>
    <w:rsid w:val="1E631F94"/>
    <w:rsid w:val="1F987EA7"/>
    <w:rsid w:val="20E46D7D"/>
    <w:rsid w:val="231D3246"/>
    <w:rsid w:val="23237FD9"/>
    <w:rsid w:val="23A507AB"/>
    <w:rsid w:val="24750923"/>
    <w:rsid w:val="24DE663F"/>
    <w:rsid w:val="27D97111"/>
    <w:rsid w:val="297E2DD7"/>
    <w:rsid w:val="29D930D5"/>
    <w:rsid w:val="2A1E16E5"/>
    <w:rsid w:val="2ABD1C6A"/>
    <w:rsid w:val="2B662A0C"/>
    <w:rsid w:val="2DD80ACD"/>
    <w:rsid w:val="2E403B49"/>
    <w:rsid w:val="2EA770C7"/>
    <w:rsid w:val="2EF0173A"/>
    <w:rsid w:val="2F5743B4"/>
    <w:rsid w:val="31926303"/>
    <w:rsid w:val="320809D3"/>
    <w:rsid w:val="33252112"/>
    <w:rsid w:val="345D6BAD"/>
    <w:rsid w:val="349611EA"/>
    <w:rsid w:val="34C45A1F"/>
    <w:rsid w:val="34E10A9D"/>
    <w:rsid w:val="37C50266"/>
    <w:rsid w:val="390A56B1"/>
    <w:rsid w:val="3C4F029D"/>
    <w:rsid w:val="3C8D1EFE"/>
    <w:rsid w:val="3CE3372A"/>
    <w:rsid w:val="403D5ED9"/>
    <w:rsid w:val="40933896"/>
    <w:rsid w:val="40AF4F2B"/>
    <w:rsid w:val="433C1948"/>
    <w:rsid w:val="48A178B9"/>
    <w:rsid w:val="4E8344A6"/>
    <w:rsid w:val="55DE7FBD"/>
    <w:rsid w:val="55EA130E"/>
    <w:rsid w:val="55ED5486"/>
    <w:rsid w:val="562B49A4"/>
    <w:rsid w:val="564011A4"/>
    <w:rsid w:val="571F7A3E"/>
    <w:rsid w:val="58516E39"/>
    <w:rsid w:val="5910392D"/>
    <w:rsid w:val="5A4235A6"/>
    <w:rsid w:val="5BEA7BA6"/>
    <w:rsid w:val="5F560569"/>
    <w:rsid w:val="5FF9313D"/>
    <w:rsid w:val="61610595"/>
    <w:rsid w:val="682506B8"/>
    <w:rsid w:val="69E548FD"/>
    <w:rsid w:val="6A1B380E"/>
    <w:rsid w:val="6AE12F46"/>
    <w:rsid w:val="6BA96217"/>
    <w:rsid w:val="6CF3373F"/>
    <w:rsid w:val="6EFF42F1"/>
    <w:rsid w:val="6F151638"/>
    <w:rsid w:val="70075758"/>
    <w:rsid w:val="70D6008A"/>
    <w:rsid w:val="71351A68"/>
    <w:rsid w:val="71B26B15"/>
    <w:rsid w:val="72677F40"/>
    <w:rsid w:val="72BF0F2C"/>
    <w:rsid w:val="778F2AB2"/>
    <w:rsid w:val="79F43D43"/>
    <w:rsid w:val="7AAD1824"/>
    <w:rsid w:val="7B0E784A"/>
    <w:rsid w:val="7B4D34CA"/>
    <w:rsid w:val="7C8B15A1"/>
    <w:rsid w:val="7CD9143D"/>
    <w:rsid w:val="7D6F39D0"/>
    <w:rsid w:val="7E5B3870"/>
    <w:rsid w:val="7EA1155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qFormat/>
    <w:uiPriority w:val="0"/>
    <w:rPr>
      <w:sz w:val="18"/>
      <w:szCs w:val="18"/>
    </w:rPr>
  </w:style>
  <w:style w:type="paragraph" w:styleId="3">
    <w:name w:val="footer"/>
    <w:basedOn w:val="1"/>
    <w:link w:val="11"/>
    <w:unhideWhenUsed/>
    <w:qFormat/>
    <w:uiPriority w:val="0"/>
    <w:pPr>
      <w:tabs>
        <w:tab w:val="center" w:pos="4153"/>
        <w:tab w:val="right" w:pos="8306"/>
      </w:tabs>
      <w:snapToGrid w:val="0"/>
      <w:jc w:val="left"/>
    </w:pPr>
    <w:rPr>
      <w:sz w:val="18"/>
      <w:szCs w:val="18"/>
    </w:rPr>
  </w:style>
  <w:style w:type="paragraph" w:styleId="4">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qFormat/>
    <w:uiPriority w:val="0"/>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0"/>
    <w:rPr>
      <w:rFonts w:cs="Times New Roman"/>
      <w:b/>
      <w:bCs/>
    </w:rPr>
  </w:style>
  <w:style w:type="character" w:styleId="9">
    <w:name w:val="page number"/>
    <w:basedOn w:val="7"/>
    <w:qFormat/>
    <w:uiPriority w:val="0"/>
  </w:style>
  <w:style w:type="character" w:customStyle="1" w:styleId="10">
    <w:name w:val="页眉 Char"/>
    <w:basedOn w:val="7"/>
    <w:link w:val="4"/>
    <w:qFormat/>
    <w:uiPriority w:val="0"/>
    <w:rPr>
      <w:sz w:val="18"/>
      <w:szCs w:val="18"/>
    </w:rPr>
  </w:style>
  <w:style w:type="character" w:customStyle="1" w:styleId="11">
    <w:name w:val="页脚 Char"/>
    <w:basedOn w:val="7"/>
    <w:link w:val="3"/>
    <w:qFormat/>
    <w:uiPriority w:val="0"/>
    <w:rPr>
      <w:sz w:val="18"/>
      <w:szCs w:val="18"/>
    </w:rPr>
  </w:style>
  <w:style w:type="paragraph" w:customStyle="1" w:styleId="12">
    <w:name w:val="列出段落1"/>
    <w:basedOn w:val="1"/>
    <w:qFormat/>
    <w:uiPriority w:val="34"/>
    <w:pPr>
      <w:ind w:firstLine="420" w:firstLineChars="200"/>
    </w:pPr>
  </w:style>
  <w:style w:type="character" w:customStyle="1" w:styleId="13">
    <w:name w:val="批注框文本 Char"/>
    <w:basedOn w:val="7"/>
    <w:link w:val="2"/>
    <w:semiHidden/>
    <w:qFormat/>
    <w:uiPriority w:val="0"/>
    <w:rPr>
      <w:rFonts w:ascii="Times New Roman" w:hAnsi="Times New Roman" w:eastAsia="宋体" w:cs="Times New Roman"/>
      <w:sz w:val="18"/>
      <w:szCs w:val="18"/>
    </w:rPr>
  </w:style>
  <w:style w:type="paragraph" w:customStyle="1" w:styleId="14">
    <w:name w:val="Char"/>
    <w:basedOn w:val="1"/>
    <w:qFormat/>
    <w:uiPriority w:val="0"/>
    <w:pPr>
      <w:spacing w:line="360" w:lineRule="auto"/>
      <w:ind w:firstLine="200" w:firstLineChars="200"/>
    </w:pPr>
    <w:rPr>
      <w:rFonts w:ascii="宋体" w:hAnsi="宋体" w:cs="宋体"/>
      <w:sz w:val="24"/>
      <w:szCs w:val="20"/>
    </w:rPr>
  </w:style>
  <w:style w:type="character" w:customStyle="1" w:styleId="15">
    <w:name w:val="font21"/>
    <w:basedOn w:val="7"/>
    <w:qFormat/>
    <w:uiPriority w:val="0"/>
    <w:rPr>
      <w:rFonts w:hint="eastAsia" w:ascii="宋体" w:hAnsi="宋体" w:eastAsia="宋体"/>
      <w:color w:val="000000"/>
      <w:sz w:val="18"/>
      <w:szCs w:val="1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0DF9A8-6043-4A4A-9D10-0C7F13076AA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23</Pages>
  <Words>1495</Words>
  <Characters>8523</Characters>
  <Lines>71</Lines>
  <Paragraphs>19</Paragraphs>
  <TotalTime>0</TotalTime>
  <ScaleCrop>false</ScaleCrop>
  <LinksUpToDate>false</LinksUpToDate>
  <CharactersWithSpaces>9999</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2016-02-24T07:45:00Z</dcterms:created>
  <dc:creator>User</dc:creator>
  <cp:lastModifiedBy>云卷云舒</cp:lastModifiedBy>
  <cp:lastPrinted>2018-01-19T06:09:00Z</cp:lastPrinted>
  <dcterms:modified xsi:type="dcterms:W3CDTF">2020-02-27T08:02:16Z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