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default" w:asciiTheme="majorEastAsia" w:hAnsiTheme="majorEastAsia" w:eastAsiaTheme="majorEastAsia" w:cstheme="majorEastAsia"/>
          <w:b/>
          <w:color w:val="000000"/>
          <w:kern w:val="0"/>
          <w:sz w:val="44"/>
          <w:szCs w:val="44"/>
          <w:lang w:val="en-US" w:eastAsia="zh-CN"/>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hint="eastAsia"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银川市金凤区</w:t>
      </w:r>
      <w:r>
        <w:rPr>
          <w:rFonts w:hint="eastAsia" w:asciiTheme="majorEastAsia" w:hAnsiTheme="majorEastAsia" w:eastAsiaTheme="majorEastAsia" w:cstheme="majorEastAsia"/>
          <w:b/>
          <w:color w:val="000000"/>
          <w:kern w:val="0"/>
          <w:sz w:val="44"/>
          <w:szCs w:val="44"/>
          <w:lang w:eastAsia="zh-CN"/>
        </w:rPr>
        <w:t>第十一</w:t>
      </w:r>
      <w:r>
        <w:rPr>
          <w:rFonts w:hint="eastAsia" w:asciiTheme="majorEastAsia" w:hAnsiTheme="majorEastAsia" w:eastAsiaTheme="majorEastAsia" w:cstheme="majorEastAsia"/>
          <w:b/>
          <w:color w:val="000000"/>
          <w:kern w:val="0"/>
          <w:sz w:val="44"/>
          <w:szCs w:val="44"/>
        </w:rPr>
        <w:t>小学</w:t>
      </w: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2020年部门预算</w:t>
      </w: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rPr>
        <w:t>银川市金凤区第十一小学2</w:t>
      </w:r>
      <w:r>
        <w:rPr>
          <w:rFonts w:hint="eastAsia" w:ascii="仿宋_GB2312" w:hAnsi="宋体" w:eastAsia="仿宋_GB2312"/>
          <w:b/>
          <w:kern w:val="0"/>
          <w:sz w:val="36"/>
          <w:szCs w:val="36"/>
          <w:lang w:val="en-US" w:eastAsia="zh-CN"/>
        </w:rPr>
        <w:t>020</w:t>
      </w:r>
      <w:r>
        <w:rPr>
          <w:rFonts w:hint="eastAsia" w:ascii="仿宋_GB2312" w:hAnsi="宋体" w:eastAsia="仿宋_GB2312"/>
          <w:b/>
          <w:kern w:val="0"/>
          <w:sz w:val="36"/>
          <w:szCs w:val="36"/>
        </w:rPr>
        <w:t>年部门预算</w:t>
      </w: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rPr>
        <w:t>——单位概况</w:t>
      </w:r>
    </w:p>
    <w:p>
      <w:pPr>
        <w:widowControl/>
        <w:jc w:val="both"/>
        <w:outlineLvl w:val="1"/>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主要工作宗旨为:实施小学义务教育，促进基础教育发展。</w:t>
      </w:r>
    </w:p>
    <w:p>
      <w:pPr>
        <w:widowControl/>
        <w:spacing w:line="560" w:lineRule="exact"/>
        <w:jc w:val="left"/>
        <w:rPr>
          <w:rFonts w:ascii="黑体" w:hAnsi="黑体" w:eastAsia="黑体"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Cs/>
          <w:kern w:val="0"/>
          <w:sz w:val="32"/>
          <w:szCs w:val="32"/>
          <w:lang w:val="en-US" w:eastAsia="zh-CN"/>
        </w:rPr>
        <w:t xml:space="preserve"> </w:t>
      </w:r>
      <w:r>
        <w:rPr>
          <w:rFonts w:hint="eastAsia" w:ascii="黑体" w:hAnsi="黑体" w:eastAsia="黑体" w:cs="宋体"/>
          <w:b/>
          <w:bCs/>
          <w:kern w:val="0"/>
          <w:sz w:val="32"/>
          <w:szCs w:val="32"/>
        </w:rPr>
        <w:t>二、部门预算单位构成</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
          <w:bCs/>
          <w:kern w:val="0"/>
          <w:sz w:val="32"/>
          <w:szCs w:val="32"/>
        </w:rPr>
        <w:t xml:space="preserve">  </w:t>
      </w:r>
      <w:r>
        <w:rPr>
          <w:rFonts w:hint="eastAsia" w:ascii="仿宋_GB2312" w:hAnsi="黑体" w:eastAsia="仿宋_GB2312" w:cs="宋体"/>
          <w:bCs/>
          <w:kern w:val="0"/>
          <w:sz w:val="32"/>
          <w:szCs w:val="32"/>
        </w:rPr>
        <w:t>对本部门（单位）及所属预算单位构成进行详细说明。如：</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预算单位构成看，金凤区第十一小学部门预算包括：金凤区第十一小学本级预算。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left"/>
        <w:outlineLvl w:val="1"/>
        <w:rPr>
          <w:rFonts w:ascii="仿宋_GB2312" w:hAnsi="宋体" w:eastAsia="仿宋_GB2312"/>
          <w:b/>
          <w:kern w:val="0"/>
          <w:sz w:val="36"/>
          <w:szCs w:val="36"/>
        </w:rPr>
      </w:pPr>
      <w:r>
        <w:rPr>
          <w:rFonts w:hint="eastAsia" w:ascii="仿宋_GB2312" w:hAnsi="宋体" w:eastAsia="仿宋_GB2312"/>
          <w:b/>
          <w:kern w:val="0"/>
          <w:sz w:val="36"/>
          <w:szCs w:val="36"/>
          <w:lang w:eastAsia="zh-CN"/>
        </w:rPr>
        <w:t>银川市金凤区第十一小学</w:t>
      </w:r>
      <w:r>
        <w:rPr>
          <w:rFonts w:hint="eastAsia" w:ascii="仿宋_GB2312" w:hAnsi="宋体" w:eastAsia="仿宋_GB2312"/>
          <w:b/>
          <w:kern w:val="0"/>
          <w:sz w:val="36"/>
          <w:szCs w:val="36"/>
        </w:rPr>
        <w:t>20</w:t>
      </w:r>
      <w:r>
        <w:rPr>
          <w:rFonts w:hint="eastAsia" w:ascii="仿宋_GB2312" w:hAnsi="宋体" w:eastAsia="仿宋_GB2312"/>
          <w:b/>
          <w:kern w:val="0"/>
          <w:sz w:val="36"/>
          <w:szCs w:val="36"/>
          <w:lang w:val="en-US" w:eastAsia="zh-CN"/>
        </w:rPr>
        <w:t>20</w:t>
      </w:r>
      <w:r>
        <w:rPr>
          <w:rFonts w:hint="eastAsia" w:ascii="仿宋_GB2312" w:hAnsi="宋体" w:eastAsia="仿宋_GB2312"/>
          <w:b/>
          <w:kern w:val="0"/>
          <w:sz w:val="36"/>
          <w:szCs w:val="36"/>
        </w:rPr>
        <w:t>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665.39</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665.39</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665.39</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665.39</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495.21</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495.21</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99.00</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99.00</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27.94</w:t>
            </w:r>
          </w:p>
        </w:tc>
        <w:tc>
          <w:tcPr>
            <w:tcW w:w="1360" w:type="dxa"/>
            <w:tcBorders>
              <w:top w:val="nil"/>
              <w:left w:val="nil"/>
              <w:bottom w:val="single" w:color="000000" w:sz="4" w:space="0"/>
              <w:right w:val="single" w:color="000000" w:sz="4" w:space="0"/>
            </w:tcBorders>
            <w:vAlign w:val="center"/>
          </w:tcPr>
          <w:p>
            <w:pPr>
              <w:widowControl/>
              <w:tabs>
                <w:tab w:val="center" w:pos="572"/>
                <w:tab w:val="right" w:pos="1484"/>
              </w:tabs>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27.94</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43.24</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43.24</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665.39</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hint="default" w:ascii="宋体" w:hAnsi="宋体" w:cs="Arial"/>
                <w:b/>
                <w:bCs/>
                <w:color w:val="000000"/>
                <w:kern w:val="0"/>
                <w:sz w:val="22"/>
                <w:szCs w:val="22"/>
                <w:lang w:val="en-US"/>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665.39</w:t>
            </w:r>
          </w:p>
        </w:tc>
      </w:tr>
    </w:tbl>
    <w:p>
      <w:pPr>
        <w:widowControl/>
        <w:outlineLvl w:val="1"/>
        <w:rPr>
          <w:rFonts w:hint="eastAsia"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outlineLvl w:val="1"/>
        <w:rPr>
          <w:rFonts w:hint="eastAsia" w:ascii="仿宋_GB2312" w:hAnsi="宋体" w:eastAsia="仿宋_GB2312"/>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707"/>
        <w:gridCol w:w="980"/>
        <w:gridCol w:w="1247"/>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280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9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2050202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小学教育</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495.21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495.21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495.21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事业单位离退休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2080505</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69.86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69.86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69.86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2080506</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机关事业单位职业年金缴费支出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27.94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27.94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27.94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2101102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27.94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27.94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27.94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2210201</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43.24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43.24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43.24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Pr>
        <w:widowControl/>
        <w:ind w:firstLine="960" w:firstLineChars="300"/>
        <w:outlineLvl w:val="1"/>
        <w:rPr>
          <w:rFonts w:hint="eastAsia" w:ascii="黑体" w:hAnsi="宋体" w:eastAsia="黑体"/>
          <w:b/>
          <w:kern w:val="0"/>
          <w:sz w:val="32"/>
          <w:szCs w:val="32"/>
        </w:rPr>
      </w:pPr>
    </w:p>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2050202</w:t>
            </w:r>
          </w:p>
        </w:tc>
        <w:tc>
          <w:tcPr>
            <w:tcW w:w="1980"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小学教育</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645.83</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495.21</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491.84</w:t>
            </w:r>
          </w:p>
        </w:tc>
        <w:tc>
          <w:tcPr>
            <w:tcW w:w="198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3.37</w:t>
            </w:r>
          </w:p>
        </w:tc>
        <w:tc>
          <w:tcPr>
            <w:tcW w:w="1260" w:type="dxa"/>
            <w:gridSpan w:val="2"/>
            <w:tcBorders>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-150.62</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-23.32</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事业单位离退休</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1.2</w:t>
            </w:r>
          </w:p>
        </w:tc>
        <w:tc>
          <w:tcPr>
            <w:tcW w:w="1620" w:type="dxa"/>
            <w:tcBorders>
              <w:top w:val="nil"/>
              <w:left w:val="nil"/>
              <w:bottom w:val="single" w:color="auto" w:sz="4" w:space="0"/>
              <w:right w:val="single" w:color="auto" w:sz="4" w:space="0"/>
            </w:tcBorders>
            <w:vAlign w:val="center"/>
          </w:tcPr>
          <w:p>
            <w:pPr>
              <w:widowControl/>
              <w:ind w:firstLine="600" w:firstLineChars="300"/>
              <w:jc w:val="both"/>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1.2</w:t>
            </w:r>
          </w:p>
        </w:tc>
        <w:tc>
          <w:tcPr>
            <w:tcW w:w="1800" w:type="dxa"/>
            <w:tcBorders>
              <w:top w:val="nil"/>
              <w:left w:val="nil"/>
              <w:bottom w:val="single" w:color="auto" w:sz="4" w:space="0"/>
              <w:right w:val="single" w:color="auto" w:sz="4" w:space="0"/>
            </w:tcBorders>
            <w:vAlign w:val="center"/>
          </w:tcPr>
          <w:p>
            <w:pPr>
              <w:widowControl/>
              <w:ind w:firstLine="600" w:firstLineChars="300"/>
              <w:jc w:val="both"/>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1.2</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bookmarkStart w:id="0" w:name="_GoBack"/>
            <w:bookmarkEnd w:id="0"/>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eastAsia"/>
                <w:kern w:val="0"/>
                <w:sz w:val="20"/>
                <w:szCs w:val="20"/>
                <w:lang w:val="en-US" w:eastAsia="zh-CN"/>
              </w:rPr>
            </w:pPr>
            <w:r>
              <w:rPr>
                <w:rFonts w:hint="eastAsia"/>
                <w:kern w:val="0"/>
                <w:sz w:val="20"/>
                <w:szCs w:val="20"/>
                <w:lang w:val="en-US" w:eastAsia="zh-CN"/>
              </w:rPr>
              <w:t>0</w:t>
            </w:r>
          </w:p>
        </w:tc>
        <w:tc>
          <w:tcPr>
            <w:tcW w:w="1454" w:type="dxa"/>
            <w:tcBorders>
              <w:top w:val="single" w:color="auto" w:sz="4" w:space="0"/>
              <w:bottom w:val="single" w:color="auto" w:sz="4" w:space="0"/>
              <w:right w:val="single" w:color="auto" w:sz="4" w:space="0"/>
            </w:tcBorders>
            <w:vAlign w:val="center"/>
          </w:tcPr>
          <w:p>
            <w:pPr>
              <w:widowControl/>
              <w:jc w:val="center"/>
              <w:rPr>
                <w:rFonts w:hint="eastAsia"/>
                <w:kern w:val="0"/>
                <w:sz w:val="20"/>
                <w:szCs w:val="20"/>
                <w:lang w:val="en-US" w:eastAsia="zh-CN"/>
              </w:rPr>
            </w:pPr>
            <w:r>
              <w:rPr>
                <w:rFonts w:hint="eastAsia"/>
                <w:kern w:val="0"/>
                <w:sz w:val="20"/>
                <w:szCs w:val="20"/>
                <w:lang w:val="en-US" w:eastAsia="zh-CN"/>
              </w:rPr>
              <w:t>0</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2080505</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57.79</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69.86</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69.86</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12.07</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20.89</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2080506</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12.79</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27.94</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27.94</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15.15</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118.45</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2101102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事业单位医疗</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23.30</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27.94</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27.94</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4.64</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19.91</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2210201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住房公积金</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35.85</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43.24</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43.24</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7.39</w:t>
            </w:r>
          </w:p>
        </w:tc>
        <w:tc>
          <w:tcPr>
            <w:tcW w:w="1454" w:type="dxa"/>
            <w:tcBorders>
              <w:top w:val="single" w:color="auto" w:sz="4" w:space="0"/>
              <w:bottom w:val="single" w:color="auto" w:sz="4" w:space="0"/>
              <w:right w:val="single" w:color="auto" w:sz="4" w:space="0"/>
            </w:tcBorders>
            <w:vAlign w:val="center"/>
          </w:tcPr>
          <w:p>
            <w:pPr>
              <w:widowControl/>
              <w:tabs>
                <w:tab w:val="left" w:pos="330"/>
              </w:tabs>
              <w:jc w:val="left"/>
              <w:rPr>
                <w:rFonts w:hint="default"/>
                <w:kern w:val="0"/>
                <w:sz w:val="20"/>
                <w:szCs w:val="20"/>
                <w:lang w:val="en-US" w:eastAsia="zh-CN"/>
              </w:rPr>
            </w:pPr>
            <w:r>
              <w:rPr>
                <w:rFonts w:hint="eastAsia"/>
                <w:kern w:val="0"/>
                <w:sz w:val="20"/>
                <w:szCs w:val="20"/>
                <w:lang w:val="en-US" w:eastAsia="zh-CN"/>
              </w:rPr>
              <w:tab/>
            </w:r>
            <w:r>
              <w:rPr>
                <w:rFonts w:hint="eastAsia"/>
                <w:kern w:val="0"/>
                <w:sz w:val="20"/>
                <w:szCs w:val="20"/>
                <w:lang w:val="en-US" w:eastAsia="zh-CN"/>
              </w:rPr>
              <w:t>20.61</w:t>
            </w: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662.03</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606.49</w:t>
            </w:r>
          </w:p>
        </w:tc>
        <w:tc>
          <w:tcPr>
            <w:tcW w:w="234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55.54</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605.11</w:t>
            </w:r>
          </w:p>
        </w:tc>
        <w:tc>
          <w:tcPr>
            <w:tcW w:w="270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605.11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200.08</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200.08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117.19</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117.19</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78.40</w:t>
            </w:r>
          </w:p>
        </w:tc>
        <w:tc>
          <w:tcPr>
            <w:tcW w:w="270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78.40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34.66</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34.66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69.86</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69.86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27.94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27.94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27.94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27.94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5.81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kern w:val="2"/>
                <w:sz w:val="22"/>
                <w:szCs w:val="22"/>
                <w:lang w:val="en-US" w:eastAsia="zh-CN" w:bidi="ar-SA"/>
              </w:rPr>
              <w:t>5.81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43.24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43.24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55.54</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55.54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10.00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0.50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30.64</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30.64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0.50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6.65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6.65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3.25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3.25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1.38</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1.38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0.18</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0.18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一般公共预算财政拨款“三公”经费支出</w:t>
      </w:r>
      <w:r>
        <w:rPr>
          <w:rFonts w:hint="eastAsia" w:ascii="黑体" w:hAnsi="宋体" w:eastAsia="黑体"/>
          <w:b/>
          <w:kern w:val="0"/>
          <w:sz w:val="32"/>
          <w:szCs w:val="32"/>
          <w:lang w:eastAsia="zh-CN"/>
        </w:rPr>
        <w:t>。</w:t>
      </w: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640" w:firstLineChars="200"/>
        <w:jc w:val="center"/>
        <w:outlineLvl w:val="1"/>
        <w:rPr>
          <w:rFonts w:ascii="仿宋_GB2312" w:hAnsi="宋体" w:eastAsia="仿宋_GB2312"/>
          <w:kern w:val="0"/>
          <w:sz w:val="32"/>
          <w:szCs w:val="32"/>
        </w:rPr>
      </w:pP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lang w:eastAsia="zh-CN"/>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政府性基金预算财政拨款支出</w:t>
      </w:r>
      <w:r>
        <w:rPr>
          <w:rFonts w:hint="eastAsia" w:ascii="黑体" w:hAnsi="宋体" w:eastAsia="黑体"/>
          <w:b/>
          <w:kern w:val="0"/>
          <w:sz w:val="32"/>
          <w:szCs w:val="32"/>
          <w:lang w:eastAsia="zh-CN"/>
        </w:rPr>
        <w:t>。</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665.39</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665.39</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665.39</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Arial"/>
                <w:color w:val="000000"/>
                <w:kern w:val="0"/>
                <w:sz w:val="22"/>
                <w:szCs w:val="22"/>
                <w:lang w:val="en-US" w:eastAsia="zh-CN"/>
              </w:rPr>
              <w:t>665.39</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Arial"/>
                <w:color w:val="000000"/>
                <w:kern w:val="0"/>
                <w:sz w:val="22"/>
                <w:szCs w:val="22"/>
                <w:lang w:val="en-US" w:eastAsia="zh-CN"/>
              </w:rPr>
              <w:t>665.39</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Arial"/>
                <w:color w:val="000000"/>
                <w:kern w:val="0"/>
                <w:sz w:val="22"/>
                <w:szCs w:val="22"/>
                <w:lang w:val="en-US" w:eastAsia="zh-CN"/>
              </w:rPr>
              <w:t>665.39</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Arial"/>
                <w:color w:val="000000"/>
                <w:kern w:val="0"/>
                <w:sz w:val="22"/>
                <w:szCs w:val="22"/>
                <w:lang w:val="en-US" w:eastAsia="zh-CN"/>
              </w:rPr>
              <w:t>665.39</w:t>
            </w:r>
          </w:p>
        </w:tc>
      </w:tr>
    </w:tbl>
    <w:p>
      <w:pPr>
        <w:widowControl/>
        <w:ind w:firstLine="640" w:firstLineChars="200"/>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49"/>
        <w:gridCol w:w="993"/>
        <w:gridCol w:w="992"/>
        <w:gridCol w:w="658"/>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6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665.39</w:t>
            </w:r>
          </w:p>
        </w:tc>
        <w:tc>
          <w:tcPr>
            <w:tcW w:w="993"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665.39</w:t>
            </w:r>
          </w:p>
        </w:tc>
        <w:tc>
          <w:tcPr>
            <w:tcW w:w="9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665.39</w:t>
            </w:r>
          </w:p>
        </w:tc>
        <w:tc>
          <w:tcPr>
            <w:tcW w:w="65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495.21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495.21</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ind w:firstLine="400" w:firstLineChars="200"/>
              <w:jc w:val="both"/>
              <w:rPr>
                <w:rFonts w:ascii="宋体" w:hAnsi="宋体" w:cs="宋体"/>
                <w:kern w:val="0"/>
                <w:sz w:val="20"/>
                <w:szCs w:val="20"/>
              </w:rPr>
            </w:pPr>
            <w:r>
              <w:rPr>
                <w:rFonts w:hint="eastAsia" w:ascii="宋体" w:hAnsi="宋体" w:cs="宋体"/>
                <w:kern w:val="0"/>
                <w:sz w:val="20"/>
                <w:szCs w:val="20"/>
                <w:lang w:val="en-US" w:eastAsia="zh-CN"/>
              </w:rPr>
              <w:t>1.2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ind w:firstLine="400" w:firstLineChars="200"/>
              <w:jc w:val="both"/>
              <w:rPr>
                <w:rFonts w:ascii="宋体" w:hAnsi="宋体" w:cs="宋体"/>
                <w:kern w:val="0"/>
                <w:sz w:val="20"/>
                <w:szCs w:val="20"/>
              </w:rPr>
            </w:pPr>
            <w:r>
              <w:rPr>
                <w:rFonts w:hint="eastAsia" w:ascii="宋体" w:hAnsi="宋体" w:cs="宋体"/>
                <w:kern w:val="0"/>
                <w:sz w:val="20"/>
                <w:szCs w:val="20"/>
                <w:lang w:val="en-US" w:eastAsia="zh-CN"/>
              </w:rPr>
              <w:t>1.2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69.86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69.86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27.94</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27.94</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27.94</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27.94</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43.24</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43.24</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Calibri" w:hAnsi="Calibri" w:eastAsia="宋体" w:cs="宋体"/>
                <w:color w:val="000000"/>
                <w:kern w:val="0"/>
                <w:sz w:val="22"/>
                <w:szCs w:val="22"/>
                <w:lang w:eastAsia="zh-CN"/>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Calibri" w:hAnsi="Calibri" w:eastAsia="宋体" w:cs="宋体"/>
                <w:color w:val="000000"/>
                <w:kern w:val="0"/>
                <w:sz w:val="22"/>
                <w:szCs w:val="22"/>
                <w:lang w:val="en-US" w:eastAsia="zh-CN"/>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Calibri" w:hAnsi="Calibri" w:eastAsia="宋体" w:cs="宋体"/>
                <w:color w:val="000000"/>
                <w:kern w:val="0"/>
                <w:sz w:val="22"/>
                <w:szCs w:val="22"/>
                <w:lang w:val="en-US" w:eastAsia="zh-CN"/>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ind w:left="4514" w:hanging="4514" w:hangingChars="1249"/>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rPr>
        <w:t>银川市金凤区</w:t>
      </w:r>
      <w:r>
        <w:rPr>
          <w:rFonts w:hint="eastAsia" w:ascii="仿宋_GB2312" w:hAnsi="宋体" w:eastAsia="仿宋_GB2312"/>
          <w:b/>
          <w:bCs/>
          <w:kern w:val="0"/>
          <w:sz w:val="36"/>
          <w:szCs w:val="36"/>
          <w:lang w:eastAsia="zh-CN"/>
        </w:rPr>
        <w:t>第十一</w:t>
      </w:r>
      <w:r>
        <w:rPr>
          <w:rFonts w:hint="eastAsia" w:ascii="仿宋_GB2312" w:hAnsi="宋体" w:eastAsia="仿宋_GB2312"/>
          <w:b/>
          <w:bCs/>
          <w:kern w:val="0"/>
          <w:sz w:val="36"/>
          <w:szCs w:val="36"/>
        </w:rPr>
        <w:t>小学2020年部门预算</w:t>
      </w:r>
    </w:p>
    <w:p>
      <w:pPr>
        <w:widowControl/>
        <w:ind w:left="4514" w:hanging="4514" w:hangingChars="1249"/>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银川市金凤区第十一小学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万元，包括：</w:t>
      </w:r>
      <w:r>
        <w:rPr>
          <w:rFonts w:hint="eastAsia" w:ascii="仿宋" w:hAnsi="仿宋" w:eastAsia="仿宋" w:cs="宋体"/>
          <w:kern w:val="0"/>
          <w:sz w:val="32"/>
          <w:szCs w:val="32"/>
          <w:lang w:eastAsia="zh-CN"/>
        </w:rPr>
        <w:t>教育</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495.21</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99.00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27.94万元、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43.24</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eastAsia="黑体" w:cs="宋体"/>
          <w:b/>
          <w:bCs/>
          <w:kern w:val="0"/>
          <w:sz w:val="32"/>
          <w:szCs w:val="32"/>
          <w:lang w:eastAsia="zh-CN"/>
        </w:rPr>
        <w:t>银川市金凤区第十一小学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662.03</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662.03</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万元。比2019年执行数（决算数）减少</w:t>
      </w:r>
      <w:r>
        <w:rPr>
          <w:rFonts w:hint="eastAsia" w:ascii="仿宋" w:hAnsi="仿宋" w:eastAsia="仿宋" w:cs="宋体"/>
          <w:kern w:val="0"/>
          <w:sz w:val="32"/>
          <w:szCs w:val="32"/>
          <w:lang w:val="en-US" w:eastAsia="zh-CN"/>
        </w:rPr>
        <w:t>5.78</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0.87</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606.49</w:t>
      </w:r>
      <w:r>
        <w:rPr>
          <w:rFonts w:hint="eastAsia" w:ascii="仿宋" w:hAnsi="仿宋" w:eastAsia="仿宋" w:cs="宋体"/>
          <w:kern w:val="0"/>
          <w:sz w:val="32"/>
          <w:szCs w:val="32"/>
        </w:rPr>
        <w:t>万元，主要包括：按部门支出经济分类科目分项说明</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基本工资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200.08</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117.19</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、奖金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78.40万元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34.66</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、机关事业单位基本养老保险缴费</w:t>
      </w:r>
      <w:r>
        <w:rPr>
          <w:rFonts w:hint="eastAsia" w:ascii="仿宋" w:hAnsi="仿宋" w:eastAsia="仿宋" w:cs="宋体"/>
          <w:kern w:val="0"/>
          <w:sz w:val="32"/>
          <w:szCs w:val="32"/>
          <w:lang w:val="en-US" w:eastAsia="zh-CN"/>
        </w:rPr>
        <w:t>69.86万元、职业年金缴费27.94万元、职工基本医疗保险缴费27.94万元、其他社会保障缴费5.81万元、住房公积金：43.24万元、</w:t>
      </w:r>
      <w:r>
        <w:rPr>
          <w:rFonts w:hint="eastAsia" w:ascii="仿宋" w:hAnsi="仿宋" w:eastAsia="仿宋" w:cs="宋体"/>
          <w:kern w:val="0"/>
          <w:sz w:val="32"/>
          <w:szCs w:val="32"/>
        </w:rPr>
        <w:t>退休费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1.20万元、其他对个人和家庭的补助支出0.18万元。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55.54</w:t>
      </w:r>
      <w:r>
        <w:rPr>
          <w:rFonts w:hint="eastAsia" w:ascii="仿宋" w:hAnsi="仿宋" w:eastAsia="仿宋" w:cs="宋体"/>
          <w:kern w:val="0"/>
          <w:sz w:val="32"/>
          <w:szCs w:val="32"/>
        </w:rPr>
        <w:t>万元，主要包括：按部门支出经济分类科目分项说明。办公费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10.00万元</w:t>
      </w:r>
      <w:r>
        <w:rPr>
          <w:rFonts w:hint="eastAsia" w:ascii="仿宋" w:hAnsi="仿宋" w:eastAsia="仿宋" w:cs="宋体"/>
          <w:kern w:val="0"/>
          <w:sz w:val="32"/>
          <w:szCs w:val="32"/>
        </w:rPr>
        <w:t>、印刷费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0.50万元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水费：</w:t>
      </w:r>
      <w:r>
        <w:rPr>
          <w:rFonts w:hint="eastAsia" w:ascii="仿宋" w:hAnsi="仿宋" w:eastAsia="仿宋" w:cs="宋体"/>
          <w:kern w:val="0"/>
          <w:sz w:val="32"/>
          <w:szCs w:val="32"/>
          <w:lang w:val="en-US" w:eastAsia="zh-CN"/>
        </w:rPr>
        <w:t>1.00万元、</w:t>
      </w:r>
      <w:r>
        <w:rPr>
          <w:rFonts w:hint="eastAsia" w:ascii="仿宋" w:hAnsi="仿宋" w:eastAsia="仿宋" w:cs="宋体"/>
          <w:kern w:val="0"/>
          <w:sz w:val="32"/>
          <w:szCs w:val="32"/>
        </w:rPr>
        <w:t>电费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1.00万元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邮电费：</w:t>
      </w:r>
      <w:r>
        <w:rPr>
          <w:rFonts w:hint="eastAsia" w:ascii="仿宋" w:hAnsi="仿宋" w:eastAsia="仿宋" w:cs="宋体"/>
          <w:kern w:val="0"/>
          <w:sz w:val="32"/>
          <w:szCs w:val="32"/>
          <w:lang w:val="en-US" w:eastAsia="zh-CN"/>
        </w:rPr>
        <w:t>0.20万元、</w:t>
      </w:r>
      <w:r>
        <w:rPr>
          <w:rFonts w:hint="eastAsia" w:ascii="仿宋" w:hAnsi="仿宋" w:eastAsia="仿宋" w:cs="宋体"/>
          <w:kern w:val="0"/>
          <w:sz w:val="32"/>
          <w:szCs w:val="32"/>
        </w:rPr>
        <w:t>物业管理费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0.20万元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差旅费：</w:t>
      </w:r>
      <w:r>
        <w:rPr>
          <w:rFonts w:hint="eastAsia" w:ascii="仿宋" w:hAnsi="仿宋" w:eastAsia="仿宋" w:cs="宋体"/>
          <w:kern w:val="0"/>
          <w:sz w:val="32"/>
          <w:szCs w:val="32"/>
          <w:lang w:val="en-US" w:eastAsia="zh-CN"/>
        </w:rPr>
        <w:t>0.20万元、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val="en-US" w:eastAsia="zh-CN"/>
        </w:rPr>
        <w:t>1.00万元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租赁费：</w:t>
      </w:r>
      <w:r>
        <w:rPr>
          <w:rFonts w:hint="eastAsia" w:ascii="仿宋" w:hAnsi="仿宋" w:eastAsia="仿宋" w:cs="宋体"/>
          <w:kern w:val="0"/>
          <w:sz w:val="32"/>
          <w:szCs w:val="32"/>
          <w:lang w:val="en-US" w:eastAsia="zh-CN"/>
        </w:rPr>
        <w:t>0.50万元、培训费:0.20万元、专用材料费：0.20万元、</w:t>
      </w:r>
      <w:r>
        <w:rPr>
          <w:rFonts w:hint="eastAsia" w:ascii="仿宋" w:hAnsi="仿宋" w:eastAsia="仿宋" w:cs="宋体"/>
          <w:kern w:val="0"/>
          <w:sz w:val="32"/>
          <w:szCs w:val="32"/>
        </w:rPr>
        <w:t>劳务费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6.65万元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3.25万元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3.37</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3.37</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w:t>
      </w:r>
      <w:r>
        <w:rPr>
          <w:rFonts w:hint="eastAsia" w:ascii="仿宋" w:hAnsi="仿宋" w:eastAsia="仿宋"/>
          <w:kern w:val="0"/>
          <w:sz w:val="32"/>
          <w:szCs w:val="32"/>
          <w:lang w:eastAsia="zh-CN"/>
        </w:rPr>
        <w:t>教育支出</w:t>
      </w:r>
      <w:r>
        <w:rPr>
          <w:rFonts w:hint="eastAsia" w:ascii="仿宋" w:hAnsi="仿宋" w:eastAsia="仿宋"/>
          <w:kern w:val="0"/>
          <w:sz w:val="32"/>
          <w:szCs w:val="32"/>
        </w:rPr>
        <w:t>（类）</w:t>
      </w:r>
      <w:r>
        <w:rPr>
          <w:rFonts w:hint="eastAsia" w:ascii="仿宋" w:hAnsi="仿宋" w:eastAsia="仿宋"/>
          <w:kern w:val="0"/>
          <w:sz w:val="32"/>
          <w:szCs w:val="32"/>
          <w:lang w:eastAsia="zh-CN"/>
        </w:rPr>
        <w:t>普通教育</w:t>
      </w:r>
      <w:r>
        <w:rPr>
          <w:rFonts w:hint="eastAsia" w:ascii="仿宋" w:hAnsi="仿宋" w:eastAsia="仿宋"/>
          <w:kern w:val="0"/>
          <w:sz w:val="32"/>
          <w:szCs w:val="32"/>
        </w:rPr>
        <w:t>（款）</w:t>
      </w:r>
      <w:r>
        <w:rPr>
          <w:rFonts w:hint="eastAsia" w:ascii="仿宋" w:hAnsi="仿宋" w:eastAsia="仿宋"/>
          <w:kern w:val="0"/>
          <w:sz w:val="32"/>
          <w:szCs w:val="32"/>
          <w:lang w:eastAsia="zh-CN"/>
        </w:rPr>
        <w:t>小学教育</w:t>
      </w:r>
      <w:r>
        <w:rPr>
          <w:rFonts w:hint="eastAsia" w:ascii="仿宋" w:hAnsi="仿宋" w:eastAsia="仿宋"/>
          <w:kern w:val="0"/>
          <w:sz w:val="32"/>
          <w:szCs w:val="32"/>
        </w:rPr>
        <w:t>（项）2020年预算</w:t>
      </w:r>
      <w:r>
        <w:rPr>
          <w:rFonts w:hint="eastAsia" w:ascii="仿宋" w:hAnsi="仿宋" w:eastAsia="仿宋"/>
          <w:kern w:val="0"/>
          <w:sz w:val="32"/>
          <w:szCs w:val="32"/>
          <w:lang w:val="en-US" w:eastAsia="zh-CN"/>
        </w:rPr>
        <w:t>3.37</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比2019年执行数（决算数）减少</w:t>
      </w:r>
      <w:r>
        <w:rPr>
          <w:rFonts w:hint="eastAsia" w:ascii="仿宋" w:hAnsi="仿宋" w:eastAsia="仿宋" w:cs="宋体"/>
          <w:kern w:val="0"/>
          <w:sz w:val="32"/>
          <w:szCs w:val="32"/>
          <w:lang w:val="en-US" w:eastAsia="zh-CN"/>
        </w:rPr>
        <w:t>115.45</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97.16</w:t>
      </w:r>
      <w:r>
        <w:rPr>
          <w:rFonts w:hint="eastAsia" w:ascii="仿宋" w:hAnsi="仿宋" w:eastAsia="仿宋" w:cs="宋体"/>
          <w:kern w:val="0"/>
          <w:sz w:val="32"/>
          <w:szCs w:val="32"/>
        </w:rPr>
        <w:t xml:space="preserve"> %。主要用于</w:t>
      </w:r>
      <w:r>
        <w:rPr>
          <w:rFonts w:hint="eastAsia" w:ascii="仿宋" w:hAnsi="仿宋" w:eastAsia="仿宋" w:cs="宋体"/>
          <w:kern w:val="0"/>
          <w:sz w:val="32"/>
          <w:szCs w:val="32"/>
          <w:lang w:val="en-US" w:eastAsia="zh-CN"/>
        </w:rPr>
        <w:t>2020年特岗教师班主任费和特岗教师各类保险金。</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必须按功能分类项级科目逐项说明。</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银川市金凤区第十一小学</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银川市金凤区第十一小学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银川市金凤区第十一小学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%；上级补助预算收入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%；附属单位上缴预算收入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%；经营预算收入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%；非同级财政拨款预算收入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%；投资预算收益</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%；事业支出</w:t>
      </w:r>
      <w:r>
        <w:rPr>
          <w:rFonts w:hint="eastAsia" w:ascii="仿宋" w:hAnsi="仿宋" w:eastAsia="仿宋" w:cs="宋体"/>
          <w:kern w:val="0"/>
          <w:sz w:val="32"/>
          <w:szCs w:val="32"/>
          <w:lang w:val="en-US" w:eastAsia="zh-CN"/>
        </w:rPr>
        <w:t>665.39</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%；经营支出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%；上缴上级支出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%；对附属单位补助支出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hint="eastAsia" w:ascii="黑体" w:hAnsi="宋体" w:eastAsia="黑体" w:cs="宋体"/>
          <w:b/>
          <w:bCs/>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本级及所属等</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个行政单位和</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个参公管理事业单位的机关运行经费财政拨款预算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政府采购预算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万元，其中：政府采购货物预算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万元，政府采购工程预算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万元，政府采购服务预算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10157</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1333.68</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10157</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1333.68</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银川市金凤区第十一小学</w:t>
      </w:r>
      <w:r>
        <w:rPr>
          <w:rFonts w:hint="eastAsia" w:ascii="仿宋" w:hAnsi="仿宋" w:eastAsia="仿宋" w:cs="宋体"/>
          <w:kern w:val="0"/>
          <w:sz w:val="32"/>
          <w:szCs w:val="32"/>
        </w:rPr>
        <w:t>重点项目绩效评价</w:t>
      </w:r>
      <w:r>
        <w:rPr>
          <w:rFonts w:hint="eastAsia" w:ascii="仿宋" w:hAnsi="仿宋" w:eastAsia="仿宋" w:cs="宋体"/>
          <w:kern w:val="0"/>
          <w:sz w:val="32"/>
          <w:szCs w:val="32"/>
          <w:lang w:eastAsia="zh-CN"/>
        </w:rPr>
        <w:t>：</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（五）其他需说明的事项</w:t>
      </w:r>
      <w:r>
        <w:rPr>
          <w:rFonts w:hint="eastAsia" w:ascii="仿宋" w:hAnsi="仿宋" w:eastAsia="仿宋" w:cs="宋体"/>
          <w:kern w:val="0"/>
          <w:sz w:val="32"/>
          <w:szCs w:val="32"/>
          <w:lang w:eastAsia="zh-CN"/>
        </w:rPr>
        <w:t>：无。</w:t>
      </w:r>
    </w:p>
    <w:p>
      <w:pPr>
        <w:widowControl/>
        <w:spacing w:line="560" w:lineRule="exact"/>
        <w:ind w:firstLine="480"/>
        <w:jc w:val="left"/>
        <w:rPr>
          <w:rFonts w:ascii="仿宋_GB2312" w:hAnsi="宋体" w:eastAsia="仿宋_GB2312" w:cs="宋体"/>
          <w:kern w:val="0"/>
          <w:sz w:val="32"/>
          <w:szCs w:val="32"/>
        </w:rPr>
      </w:pP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lang w:eastAsia="zh-CN"/>
        </w:rPr>
        <w:t>银川市金凤区第十一小学</w:t>
      </w:r>
      <w:r>
        <w:rPr>
          <w:rFonts w:hint="eastAsia" w:ascii="仿宋_GB2312" w:hAnsi="宋体" w:eastAsia="仿宋_GB2312"/>
          <w:b/>
          <w:bCs/>
          <w:kern w:val="0"/>
          <w:sz w:val="36"/>
          <w:szCs w:val="36"/>
        </w:rPr>
        <w:t>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224F6"/>
    <w:rsid w:val="00797C6A"/>
    <w:rsid w:val="007A2546"/>
    <w:rsid w:val="007C4986"/>
    <w:rsid w:val="007E5001"/>
    <w:rsid w:val="00806D8F"/>
    <w:rsid w:val="00887F21"/>
    <w:rsid w:val="008C415B"/>
    <w:rsid w:val="00926C87"/>
    <w:rsid w:val="00955E13"/>
    <w:rsid w:val="009C5522"/>
    <w:rsid w:val="009E44B6"/>
    <w:rsid w:val="009E648E"/>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31A94"/>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4D06FE1"/>
    <w:rsid w:val="06C408D0"/>
    <w:rsid w:val="0799037E"/>
    <w:rsid w:val="08C40F7F"/>
    <w:rsid w:val="08D17665"/>
    <w:rsid w:val="09913515"/>
    <w:rsid w:val="09B10995"/>
    <w:rsid w:val="0A0C0998"/>
    <w:rsid w:val="0AB451E8"/>
    <w:rsid w:val="0B3B4D1D"/>
    <w:rsid w:val="0BDC4823"/>
    <w:rsid w:val="0C0E3C50"/>
    <w:rsid w:val="0CB36C33"/>
    <w:rsid w:val="0D5C44D3"/>
    <w:rsid w:val="0DD864EF"/>
    <w:rsid w:val="0F853949"/>
    <w:rsid w:val="111F5C9F"/>
    <w:rsid w:val="11442581"/>
    <w:rsid w:val="124263F0"/>
    <w:rsid w:val="1260054E"/>
    <w:rsid w:val="14215FE0"/>
    <w:rsid w:val="157B47E2"/>
    <w:rsid w:val="198D47F1"/>
    <w:rsid w:val="1A806407"/>
    <w:rsid w:val="1C6769FC"/>
    <w:rsid w:val="1E631F94"/>
    <w:rsid w:val="1ECE6475"/>
    <w:rsid w:val="1F987EA7"/>
    <w:rsid w:val="20E46D7D"/>
    <w:rsid w:val="219634A8"/>
    <w:rsid w:val="22C62E85"/>
    <w:rsid w:val="22FD212D"/>
    <w:rsid w:val="231D3246"/>
    <w:rsid w:val="23237FD9"/>
    <w:rsid w:val="233C02CA"/>
    <w:rsid w:val="23A507AB"/>
    <w:rsid w:val="23B23EE2"/>
    <w:rsid w:val="24750923"/>
    <w:rsid w:val="24DE663F"/>
    <w:rsid w:val="24F67B24"/>
    <w:rsid w:val="27D97111"/>
    <w:rsid w:val="297E2DD7"/>
    <w:rsid w:val="29D930D5"/>
    <w:rsid w:val="2A1E16E5"/>
    <w:rsid w:val="2ABD1C6A"/>
    <w:rsid w:val="2B662A0C"/>
    <w:rsid w:val="2BD86F6E"/>
    <w:rsid w:val="2C6F3CAF"/>
    <w:rsid w:val="2D146802"/>
    <w:rsid w:val="2DD80ACD"/>
    <w:rsid w:val="2E403B49"/>
    <w:rsid w:val="2EA770C7"/>
    <w:rsid w:val="2ECF1E65"/>
    <w:rsid w:val="2EF0173A"/>
    <w:rsid w:val="2F001670"/>
    <w:rsid w:val="2F5743B4"/>
    <w:rsid w:val="31926303"/>
    <w:rsid w:val="320809D3"/>
    <w:rsid w:val="33252112"/>
    <w:rsid w:val="345D6BAD"/>
    <w:rsid w:val="349611EA"/>
    <w:rsid w:val="34C45A1F"/>
    <w:rsid w:val="34E10A9D"/>
    <w:rsid w:val="358464EE"/>
    <w:rsid w:val="367F2AEE"/>
    <w:rsid w:val="37C50266"/>
    <w:rsid w:val="389E0DB9"/>
    <w:rsid w:val="390A56B1"/>
    <w:rsid w:val="3C4F029D"/>
    <w:rsid w:val="3C8D1EFE"/>
    <w:rsid w:val="3CE31845"/>
    <w:rsid w:val="3CE3372A"/>
    <w:rsid w:val="3DF75041"/>
    <w:rsid w:val="402E11B8"/>
    <w:rsid w:val="403D5ED9"/>
    <w:rsid w:val="40933896"/>
    <w:rsid w:val="40AF4F2B"/>
    <w:rsid w:val="426C136C"/>
    <w:rsid w:val="433C1948"/>
    <w:rsid w:val="48A178B9"/>
    <w:rsid w:val="48E42296"/>
    <w:rsid w:val="4A85454C"/>
    <w:rsid w:val="4BA61915"/>
    <w:rsid w:val="4CD13645"/>
    <w:rsid w:val="4CD40DE2"/>
    <w:rsid w:val="4DCF3E57"/>
    <w:rsid w:val="4E5862C8"/>
    <w:rsid w:val="4E8344A6"/>
    <w:rsid w:val="51A45E5E"/>
    <w:rsid w:val="51EB2CBB"/>
    <w:rsid w:val="528A3E74"/>
    <w:rsid w:val="529715DA"/>
    <w:rsid w:val="54C45A0E"/>
    <w:rsid w:val="55DE7FBD"/>
    <w:rsid w:val="55EA130E"/>
    <w:rsid w:val="55ED5486"/>
    <w:rsid w:val="562B49A4"/>
    <w:rsid w:val="564011A4"/>
    <w:rsid w:val="571F7A3E"/>
    <w:rsid w:val="57F157E6"/>
    <w:rsid w:val="58516E39"/>
    <w:rsid w:val="5910392D"/>
    <w:rsid w:val="59A83921"/>
    <w:rsid w:val="5A770E58"/>
    <w:rsid w:val="5AC96A35"/>
    <w:rsid w:val="5AF35CE6"/>
    <w:rsid w:val="5B026526"/>
    <w:rsid w:val="5BEA7BA6"/>
    <w:rsid w:val="5F560569"/>
    <w:rsid w:val="5FF9313D"/>
    <w:rsid w:val="61610595"/>
    <w:rsid w:val="62451354"/>
    <w:rsid w:val="63C6520F"/>
    <w:rsid w:val="63F31A3D"/>
    <w:rsid w:val="66257114"/>
    <w:rsid w:val="67353009"/>
    <w:rsid w:val="682506B8"/>
    <w:rsid w:val="684E2CFF"/>
    <w:rsid w:val="69E548FD"/>
    <w:rsid w:val="6A1B380E"/>
    <w:rsid w:val="6AE12F46"/>
    <w:rsid w:val="6B7C04A7"/>
    <w:rsid w:val="6BA96217"/>
    <w:rsid w:val="6CF3373F"/>
    <w:rsid w:val="6DE347F3"/>
    <w:rsid w:val="6EFF42F1"/>
    <w:rsid w:val="6F151638"/>
    <w:rsid w:val="6FEF01A5"/>
    <w:rsid w:val="70075758"/>
    <w:rsid w:val="70D6008A"/>
    <w:rsid w:val="71351A68"/>
    <w:rsid w:val="71B26B15"/>
    <w:rsid w:val="72677F40"/>
    <w:rsid w:val="72BF0F2C"/>
    <w:rsid w:val="75C26686"/>
    <w:rsid w:val="778F2AB2"/>
    <w:rsid w:val="791B1D5C"/>
    <w:rsid w:val="79F43D43"/>
    <w:rsid w:val="7AAD1824"/>
    <w:rsid w:val="7B0E784A"/>
    <w:rsid w:val="7B1A7809"/>
    <w:rsid w:val="7B4D34CA"/>
    <w:rsid w:val="7C8B15A1"/>
    <w:rsid w:val="7CD9143D"/>
    <w:rsid w:val="7D6F39D0"/>
    <w:rsid w:val="7E5B3870"/>
    <w:rsid w:val="7E9B5A17"/>
    <w:rsid w:val="7EA1155B"/>
    <w:rsid w:val="7F846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1550</Words>
  <Characters>8840</Characters>
  <Lines>73</Lines>
  <Paragraphs>20</Paragraphs>
  <TotalTime>44</TotalTime>
  <ScaleCrop>false</ScaleCrop>
  <LinksUpToDate>false</LinksUpToDate>
  <CharactersWithSpaces>10370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yhy</cp:lastModifiedBy>
  <cp:lastPrinted>2018-01-19T06:09:00Z</cp:lastPrinted>
  <dcterms:modified xsi:type="dcterms:W3CDTF">2020-02-27T03:13:14Z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