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sz w:val="32"/>
          <w:szCs w:val="32"/>
        </w:rPr>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2018年度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银川市金凤区</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第一回民小学部门决算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line="580" w:lineRule="exact"/>
        <w:outlineLvl w:val="1"/>
        <w:rPr>
          <w:rFonts w:ascii="黑体" w:hAnsi="黑体" w:eastAsia="黑体" w:cs="黑体"/>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  录</w:t>
      </w:r>
    </w:p>
    <w:p>
      <w:pPr>
        <w:spacing w:line="580" w:lineRule="exact"/>
        <w:jc w:val="center"/>
        <w:outlineLvl w:val="1"/>
        <w:rPr>
          <w:b/>
          <w:kern w:val="0"/>
          <w:sz w:val="44"/>
          <w:szCs w:val="44"/>
        </w:rPr>
      </w:pPr>
    </w:p>
    <w:p>
      <w:pPr>
        <w:spacing w:line="640" w:lineRule="exact"/>
        <w:ind w:firstLine="156" w:firstLineChars="49"/>
        <w:outlineLvl w:val="1"/>
        <w:rPr>
          <w:rFonts w:ascii="方正小标宋简体" w:hAnsi="楷体_GB2312" w:eastAsia="方正小标宋简体" w:cs="楷体_GB2312"/>
          <w:kern w:val="0"/>
          <w:sz w:val="32"/>
          <w:szCs w:val="32"/>
        </w:rPr>
      </w:pPr>
      <w:r>
        <w:rPr>
          <w:rFonts w:hint="eastAsia" w:ascii="方正小标宋简体" w:hAnsi="楷体_GB2312" w:eastAsia="方正小标宋简体" w:cs="楷体_GB2312"/>
          <w:kern w:val="0"/>
          <w:sz w:val="32"/>
          <w:szCs w:val="32"/>
        </w:rPr>
        <w:t>第一部分  单位概况</w:t>
      </w:r>
    </w:p>
    <w:p>
      <w:pPr>
        <w:spacing w:line="64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64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line="640" w:lineRule="exact"/>
        <w:ind w:firstLine="156" w:firstLineChars="49"/>
        <w:outlineLvl w:val="1"/>
        <w:rPr>
          <w:rFonts w:ascii="方正小标宋简体" w:hAnsi="楷体_GB2312" w:eastAsia="方正小标宋简体" w:cs="楷体_GB2312"/>
          <w:kern w:val="0"/>
          <w:sz w:val="32"/>
          <w:szCs w:val="32"/>
        </w:rPr>
      </w:pPr>
      <w:r>
        <w:rPr>
          <w:rFonts w:hint="eastAsia" w:ascii="方正小标宋简体" w:hAnsi="楷体_GB2312" w:eastAsia="方正小标宋简体" w:cs="楷体_GB2312"/>
          <w:kern w:val="0"/>
          <w:sz w:val="32"/>
          <w:szCs w:val="32"/>
        </w:rPr>
        <w:t>第二部分  2018年度部门决算表</w:t>
      </w:r>
    </w:p>
    <w:p>
      <w:pPr>
        <w:spacing w:line="640" w:lineRule="exact"/>
        <w:ind w:firstLine="800" w:firstLineChars="250"/>
        <w:rPr>
          <w:rFonts w:eastAsia="仿宋_GB2312"/>
          <w:sz w:val="32"/>
          <w:szCs w:val="32"/>
        </w:rPr>
      </w:pPr>
      <w:r>
        <w:rPr>
          <w:rFonts w:eastAsia="仿宋_GB2312"/>
          <w:sz w:val="32"/>
          <w:szCs w:val="32"/>
        </w:rPr>
        <w:t>一、收入支出决算总表</w:t>
      </w:r>
    </w:p>
    <w:p>
      <w:pPr>
        <w:spacing w:line="640" w:lineRule="exact"/>
        <w:ind w:firstLine="800" w:firstLineChars="250"/>
        <w:rPr>
          <w:rFonts w:eastAsia="仿宋_GB2312"/>
          <w:sz w:val="32"/>
          <w:szCs w:val="32"/>
        </w:rPr>
      </w:pPr>
      <w:r>
        <w:rPr>
          <w:rFonts w:eastAsia="仿宋_GB2312"/>
          <w:sz w:val="32"/>
          <w:szCs w:val="32"/>
        </w:rPr>
        <w:t>二、收入决算表</w:t>
      </w:r>
    </w:p>
    <w:p>
      <w:pPr>
        <w:spacing w:line="640" w:lineRule="exact"/>
        <w:ind w:firstLine="800" w:firstLineChars="250"/>
        <w:rPr>
          <w:rFonts w:eastAsia="仿宋_GB2312"/>
          <w:sz w:val="32"/>
          <w:szCs w:val="32"/>
        </w:rPr>
      </w:pPr>
      <w:r>
        <w:rPr>
          <w:rFonts w:eastAsia="仿宋_GB2312"/>
          <w:sz w:val="32"/>
          <w:szCs w:val="32"/>
        </w:rPr>
        <w:t>三、支出决算表</w:t>
      </w:r>
    </w:p>
    <w:p>
      <w:pPr>
        <w:spacing w:line="640" w:lineRule="exact"/>
        <w:ind w:firstLine="800" w:firstLineChars="250"/>
        <w:rPr>
          <w:rFonts w:eastAsia="仿宋_GB2312"/>
          <w:sz w:val="32"/>
          <w:szCs w:val="32"/>
        </w:rPr>
      </w:pPr>
      <w:r>
        <w:rPr>
          <w:rFonts w:eastAsia="仿宋_GB2312"/>
          <w:sz w:val="32"/>
          <w:szCs w:val="32"/>
        </w:rPr>
        <w:t>四、财政拨款收入支出决算总表</w:t>
      </w:r>
    </w:p>
    <w:p>
      <w:pPr>
        <w:spacing w:line="640" w:lineRule="exact"/>
        <w:ind w:firstLine="800" w:firstLineChars="250"/>
        <w:rPr>
          <w:rFonts w:eastAsia="仿宋_GB2312"/>
          <w:sz w:val="32"/>
          <w:szCs w:val="32"/>
        </w:rPr>
      </w:pPr>
      <w:r>
        <w:rPr>
          <w:rFonts w:eastAsia="仿宋_GB2312"/>
          <w:sz w:val="32"/>
          <w:szCs w:val="32"/>
        </w:rPr>
        <w:t>五、一般公共预算财政拨款支出决算表</w:t>
      </w:r>
    </w:p>
    <w:p>
      <w:pPr>
        <w:spacing w:line="64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64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64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640" w:lineRule="exact"/>
        <w:ind w:firstLine="156" w:firstLineChars="49"/>
        <w:outlineLvl w:val="1"/>
        <w:rPr>
          <w:rFonts w:eastAsia="仿宋_GB2312"/>
          <w:sz w:val="32"/>
          <w:szCs w:val="32"/>
        </w:rPr>
      </w:pPr>
      <w:r>
        <w:rPr>
          <w:rFonts w:hint="eastAsia" w:ascii="方正小标宋简体" w:hAnsi="楷体_GB2312" w:eastAsia="方正小标宋简体" w:cs="楷体_GB2312"/>
          <w:kern w:val="0"/>
          <w:sz w:val="32"/>
          <w:szCs w:val="32"/>
        </w:rPr>
        <w:t>第三部分  2018年度部门决算情况说明</w:t>
      </w:r>
    </w:p>
    <w:p>
      <w:pPr>
        <w:spacing w:line="640" w:lineRule="exact"/>
        <w:ind w:firstLine="800" w:firstLineChars="250"/>
        <w:rPr>
          <w:rFonts w:eastAsia="仿宋_GB2312"/>
          <w:kern w:val="0"/>
          <w:sz w:val="32"/>
          <w:szCs w:val="32"/>
        </w:rPr>
      </w:pPr>
      <w:r>
        <w:rPr>
          <w:rFonts w:eastAsia="仿宋_GB2312"/>
          <w:sz w:val="32"/>
          <w:szCs w:val="32"/>
        </w:rPr>
        <w:t>一</w:t>
      </w:r>
      <w:r>
        <w:rPr>
          <w:rFonts w:eastAsia="仿宋_GB2312"/>
          <w:kern w:val="0"/>
          <w:sz w:val="32"/>
          <w:szCs w:val="32"/>
        </w:rPr>
        <w:t>、收入支出决算总体情况说明</w:t>
      </w:r>
    </w:p>
    <w:p>
      <w:pPr>
        <w:spacing w:line="640" w:lineRule="exact"/>
        <w:outlineLvl w:val="1"/>
        <w:rPr>
          <w:rFonts w:eastAsia="仿宋_GB2312"/>
          <w:kern w:val="0"/>
          <w:sz w:val="32"/>
          <w:szCs w:val="32"/>
        </w:rPr>
      </w:pPr>
      <w:r>
        <w:rPr>
          <w:rFonts w:eastAsia="仿宋_GB2312"/>
          <w:kern w:val="0"/>
          <w:sz w:val="32"/>
          <w:szCs w:val="32"/>
        </w:rPr>
        <w:t xml:space="preserve">     二、收入决算情况说明</w:t>
      </w:r>
    </w:p>
    <w:p>
      <w:pPr>
        <w:spacing w:line="640" w:lineRule="exact"/>
        <w:outlineLvl w:val="1"/>
        <w:rPr>
          <w:rFonts w:eastAsia="仿宋_GB2312"/>
          <w:kern w:val="0"/>
          <w:sz w:val="32"/>
          <w:szCs w:val="32"/>
        </w:rPr>
      </w:pPr>
      <w:r>
        <w:rPr>
          <w:rFonts w:eastAsia="仿宋_GB2312"/>
          <w:kern w:val="0"/>
          <w:sz w:val="32"/>
          <w:szCs w:val="32"/>
        </w:rPr>
        <w:t xml:space="preserve">     三、支出决算情况说明</w:t>
      </w:r>
    </w:p>
    <w:p>
      <w:pPr>
        <w:spacing w:line="64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64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64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640" w:lineRule="exact"/>
        <w:ind w:firstLine="700" w:firstLineChars="250"/>
        <w:outlineLvl w:val="1"/>
        <w:rPr>
          <w:rFonts w:eastAsia="仿宋_GB2312"/>
          <w:spacing w:val="-20"/>
          <w:kern w:val="0"/>
          <w:sz w:val="32"/>
          <w:szCs w:val="32"/>
        </w:rPr>
      </w:pPr>
      <w:r>
        <w:rPr>
          <w:rFonts w:eastAsia="仿宋_GB2312"/>
          <w:spacing w:val="-20"/>
          <w:kern w:val="0"/>
          <w:sz w:val="32"/>
          <w:szCs w:val="32"/>
        </w:rPr>
        <w:t>七、一般公共预算财政拨款“三公”经费支出决算情况说明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line="640" w:lineRule="exact"/>
        <w:ind w:firstLine="313" w:firstLineChars="98"/>
        <w:outlineLvl w:val="1"/>
        <w:rPr>
          <w:rFonts w:ascii="方正小标宋简体" w:hAnsi="楷体_GB2312" w:eastAsia="方正小标宋简体" w:cs="楷体_GB2312"/>
          <w:kern w:val="0"/>
          <w:sz w:val="32"/>
          <w:szCs w:val="32"/>
        </w:rPr>
      </w:pPr>
      <w:r>
        <w:rPr>
          <w:rFonts w:hint="eastAsia" w:ascii="方正小标宋简体" w:hAnsi="楷体_GB2312" w:eastAsia="方正小标宋简体" w:cs="楷体_GB2312"/>
          <w:kern w:val="0"/>
          <w:sz w:val="32"/>
          <w:szCs w:val="32"/>
        </w:rPr>
        <w:t>第四部分  名词解释</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spacing w:line="580" w:lineRule="exact"/>
        <w:jc w:val="center"/>
        <w:outlineLvl w:val="1"/>
        <w:rPr>
          <w:rFonts w:ascii="方正小标宋简体" w:hAnsi="黑体" w:eastAsia="方正小标宋简体" w:cs="黑体"/>
          <w:kern w:val="0"/>
          <w:sz w:val="44"/>
          <w:szCs w:val="44"/>
        </w:rPr>
      </w:pPr>
    </w:p>
    <w:p>
      <w:pPr>
        <w:widowControl/>
        <w:numPr>
          <w:ilvl w:val="0"/>
          <w:numId w:val="1"/>
        </w:numPr>
        <w:spacing w:line="580" w:lineRule="exact"/>
        <w:jc w:val="center"/>
        <w:outlineLvl w:val="1"/>
        <w:rPr>
          <w:rFonts w:ascii="黑体" w:hAnsi="黑体" w:eastAsia="黑体" w:cs="黑体"/>
          <w:kern w:val="0"/>
          <w:sz w:val="44"/>
          <w:szCs w:val="44"/>
        </w:rPr>
      </w:pPr>
      <w:r>
        <w:rPr>
          <w:rFonts w:hint="eastAsia" w:ascii="黑体" w:hAnsi="黑体" w:eastAsia="黑体" w:cs="黑体"/>
          <w:kern w:val="0"/>
          <w:sz w:val="44"/>
          <w:szCs w:val="44"/>
        </w:rPr>
        <w:t>银川市金凤区第一回民小学</w:t>
      </w:r>
    </w:p>
    <w:p>
      <w:pPr>
        <w:widowControl/>
        <w:spacing w:line="580" w:lineRule="exact"/>
        <w:jc w:val="center"/>
        <w:outlineLvl w:val="1"/>
        <w:rPr>
          <w:rFonts w:ascii="黑体" w:hAnsi="黑体" w:eastAsia="黑体" w:cs="黑体"/>
          <w:kern w:val="0"/>
          <w:sz w:val="44"/>
          <w:szCs w:val="44"/>
        </w:rPr>
      </w:pPr>
      <w:r>
        <w:rPr>
          <w:rFonts w:hint="eastAsia" w:ascii="方正小标宋简体" w:hAnsi="黑体" w:eastAsia="方正小标宋简体" w:cs="黑体"/>
          <w:kern w:val="0"/>
          <w:sz w:val="44"/>
          <w:szCs w:val="44"/>
        </w:rPr>
        <w:t>单位概况</w:t>
      </w:r>
    </w:p>
    <w:p>
      <w:pPr>
        <w:widowControl/>
        <w:spacing w:line="580" w:lineRule="exact"/>
        <w:jc w:val="left"/>
        <w:rPr>
          <w:rFonts w:ascii="黑体" w:hAnsi="黑体" w:eastAsia="黑体" w:cs="宋体"/>
          <w:b/>
          <w:bCs/>
          <w:kern w:val="0"/>
          <w:sz w:val="32"/>
          <w:szCs w:val="32"/>
        </w:rPr>
      </w:pPr>
    </w:p>
    <w:p>
      <w:pPr>
        <w:widowControl/>
        <w:spacing w:line="580" w:lineRule="exact"/>
        <w:ind w:firstLine="640" w:firstLineChars="200"/>
        <w:jc w:val="left"/>
        <w:rPr>
          <w:rFonts w:ascii="黑体" w:hAnsi="黑体" w:eastAsia="黑体" w:cs="宋体"/>
          <w:bCs/>
          <w:kern w:val="0"/>
          <w:sz w:val="32"/>
          <w:szCs w:val="32"/>
        </w:rPr>
      </w:pPr>
      <w:r>
        <w:rPr>
          <w:rFonts w:hint="eastAsia" w:ascii="黑体" w:hAnsi="楷体_GB2312" w:eastAsia="黑体" w:cs="楷体_GB2312"/>
          <w:kern w:val="0"/>
          <w:sz w:val="32"/>
          <w:szCs w:val="32"/>
        </w:rPr>
        <w:t>一、部门职责</w:t>
      </w:r>
    </w:p>
    <w:p>
      <w:pPr>
        <w:widowControl/>
        <w:spacing w:line="560" w:lineRule="exact"/>
        <w:jc w:val="left"/>
        <w:rPr>
          <w:rFonts w:ascii="仿宋_GB2312" w:hAnsi="黑体" w:eastAsia="仿宋_GB2312" w:cs="宋体"/>
          <w:bCs/>
          <w:color w:val="000000"/>
          <w:kern w:val="0"/>
          <w:sz w:val="32"/>
          <w:szCs w:val="32"/>
        </w:rPr>
      </w:pPr>
      <w:r>
        <w:rPr>
          <w:rFonts w:hint="eastAsia" w:ascii="仿宋_GB2312" w:hAnsi="黑体" w:eastAsia="仿宋_GB2312" w:cs="宋体"/>
          <w:bCs/>
          <w:color w:val="000000"/>
          <w:kern w:val="0"/>
          <w:sz w:val="32"/>
          <w:szCs w:val="32"/>
        </w:rPr>
        <w:tab/>
      </w:r>
      <w:r>
        <w:rPr>
          <w:rFonts w:hint="eastAsia" w:ascii="仿宋_GB2312" w:hAnsi="黑体" w:eastAsia="仿宋_GB2312" w:cs="宋体"/>
          <w:bCs/>
          <w:color w:val="000000"/>
          <w:kern w:val="0"/>
          <w:sz w:val="32"/>
          <w:szCs w:val="32"/>
        </w:rPr>
        <w:t>金凤区第一回民小学地处金凤区通达南街，校舍取暖面积14280.3平方米，教师编制数为96人，年末实有在职教职工90人，特岗教师1人，公岗6人，学生2217人，</w:t>
      </w:r>
      <w:r>
        <w:rPr>
          <w:rFonts w:hint="eastAsia" w:ascii="仿宋_GB2312" w:hAnsi="仿宋_GB2312" w:eastAsia="仿宋_GB2312" w:cs="仿宋_GB2312"/>
          <w:bCs/>
          <w:color w:val="000000"/>
          <w:kern w:val="0"/>
          <w:sz w:val="32"/>
          <w:szCs w:val="32"/>
        </w:rPr>
        <w:t>全面负责学校工作，认真贯彻落实党和国家的方针、政策，正确执行上级主管部门的决议和指示，全面实施素质教育，培养德、智、体、美等方面全面发展的社会主义事业的建设者和接班人。根据教育规律、社会要求和学校实际，组织制定学校发展的远景规划、近期目标、学年和学期各项工作计划以及各项工作指标并组织实施。加强学校的科学化管理，制定和健全各项规章制度，规范办学行为，培养良好校风，逐步实现管理决策的科学化，管理方法的定量化和管理手段的现代化。</w:t>
      </w:r>
    </w:p>
    <w:p>
      <w:pPr>
        <w:widowControl/>
        <w:spacing w:line="580" w:lineRule="exact"/>
        <w:ind w:firstLine="640" w:firstLineChars="200"/>
        <w:jc w:val="left"/>
        <w:rPr>
          <w:rFonts w:ascii="黑体" w:hAnsi="黑体" w:eastAsia="黑体" w:cs="宋体"/>
          <w:bCs/>
          <w:kern w:val="0"/>
          <w:sz w:val="32"/>
          <w:szCs w:val="32"/>
        </w:rPr>
      </w:pPr>
      <w:r>
        <w:rPr>
          <w:rFonts w:hint="eastAsia" w:ascii="黑体" w:hAnsi="楷体_GB2312" w:eastAsia="黑体" w:cs="楷体_GB2312"/>
          <w:bCs/>
          <w:kern w:val="0"/>
          <w:sz w:val="32"/>
          <w:szCs w:val="32"/>
        </w:rPr>
        <w:t>二、机构设置</w:t>
      </w:r>
    </w:p>
    <w:p>
      <w:pPr>
        <w:widowControl/>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按照部门决算编报要求，纳入银川市金凤区第一回民小学2018年度部门决算编报范围的单位共1个，包括0个二级预算单位。</w:t>
      </w:r>
    </w:p>
    <w:p>
      <w:pPr>
        <w:widowControl/>
        <w:rPr>
          <w:rFonts w:ascii="宋体" w:hAnsi="宋体" w:cs="Arial"/>
          <w:b/>
          <w:bCs/>
          <w:color w:val="000000"/>
          <w:kern w:val="0"/>
          <w:sz w:val="44"/>
          <w:szCs w:val="44"/>
        </w:rPr>
        <w:sectPr>
          <w:headerReference r:id="rId3" w:type="default"/>
          <w:footerReference r:id="rId4" w:type="default"/>
          <w:pgSz w:w="11906" w:h="16838"/>
          <w:pgMar w:top="1418" w:right="1701" w:bottom="1418" w:left="1701" w:header="851" w:footer="1021" w:gutter="0"/>
          <w:pgNumType w:start="1"/>
          <w:cols w:space="720" w:num="1"/>
          <w:docGrid w:type="lines" w:linePitch="312" w:charSpace="0"/>
        </w:sectPr>
      </w:pPr>
    </w:p>
    <w:tbl>
      <w:tblPr>
        <w:tblStyle w:val="6"/>
        <w:tblW w:w="14741" w:type="dxa"/>
        <w:jc w:val="center"/>
        <w:tblLayout w:type="fixed"/>
        <w:tblCellMar>
          <w:top w:w="0" w:type="dxa"/>
          <w:left w:w="108" w:type="dxa"/>
          <w:bottom w:w="0" w:type="dxa"/>
          <w:right w:w="108" w:type="dxa"/>
        </w:tblCellMar>
      </w:tblPr>
      <w:tblGrid>
        <w:gridCol w:w="14741"/>
      </w:tblGrid>
      <w:tr>
        <w:tblPrEx>
          <w:tblCellMar>
            <w:top w:w="0" w:type="dxa"/>
            <w:left w:w="108" w:type="dxa"/>
            <w:bottom w:w="0" w:type="dxa"/>
            <w:right w:w="108" w:type="dxa"/>
          </w:tblCellMar>
        </w:tblPrEx>
        <w:trPr>
          <w:trHeight w:val="79" w:hRule="atLeast"/>
          <w:jc w:val="center"/>
        </w:trPr>
        <w:tc>
          <w:tcPr>
            <w:tcW w:w="14741" w:type="dxa"/>
            <w:tcBorders>
              <w:top w:val="nil"/>
              <w:left w:val="nil"/>
              <w:bottom w:val="nil"/>
              <w:right w:val="nil"/>
            </w:tcBorders>
            <w:vAlign w:val="center"/>
          </w:tcPr>
          <w:p>
            <w:pPr>
              <w:spacing w:line="580" w:lineRule="exact"/>
              <w:jc w:val="center"/>
              <w:outlineLvl w:val="1"/>
              <w:rPr>
                <w:rFonts w:ascii="黑体" w:hAnsi="黑体" w:eastAsia="黑体" w:cs="黑体"/>
                <w:b/>
                <w:bCs/>
                <w:color w:val="000000"/>
                <w:kern w:val="0"/>
                <w:sz w:val="40"/>
                <w:szCs w:val="40"/>
              </w:rPr>
            </w:pPr>
            <w:r>
              <w:rPr>
                <w:rFonts w:hint="eastAsia" w:ascii="黑体" w:hAnsi="黑体" w:eastAsia="黑体" w:cs="黑体"/>
                <w:b/>
                <w:bCs/>
                <w:color w:val="000000"/>
                <w:kern w:val="0"/>
                <w:sz w:val="40"/>
                <w:szCs w:val="40"/>
              </w:rPr>
              <w:t>第二部分  2018年度部门决算表(见附表）</w:t>
            </w:r>
          </w:p>
          <w:p>
            <w:pPr>
              <w:widowControl/>
              <w:jc w:val="center"/>
              <w:rPr>
                <w:rFonts w:ascii="宋体" w:hAnsi="宋体" w:cs="Arial"/>
                <w:b/>
                <w:bCs/>
                <w:color w:val="000000"/>
                <w:kern w:val="0"/>
                <w:sz w:val="40"/>
                <w:szCs w:val="40"/>
              </w:rPr>
            </w:pPr>
          </w:p>
        </w:tc>
      </w:tr>
    </w:tbl>
    <w:p>
      <w:pPr>
        <w:spacing w:line="580" w:lineRule="exact"/>
        <w:sectPr>
          <w:pgSz w:w="16838" w:h="11906" w:orient="landscape"/>
          <w:pgMar w:top="340" w:right="1440" w:bottom="340" w:left="1440" w:header="283" w:footer="283" w:gutter="0"/>
          <w:cols w:space="720" w:num="1"/>
          <w:docGrid w:type="linesAndChars" w:linePitch="324" w:charSpace="0"/>
        </w:sectPr>
      </w:pPr>
    </w:p>
    <w:p>
      <w:pPr>
        <w:spacing w:line="560" w:lineRule="exact"/>
        <w:jc w:val="center"/>
        <w:outlineLvl w:val="1"/>
        <w:rPr>
          <w:rFonts w:ascii="黑体" w:hAnsi="黑体" w:eastAsia="黑体" w:cs="黑体"/>
          <w:kern w:val="0"/>
          <w:sz w:val="44"/>
          <w:szCs w:val="44"/>
        </w:rPr>
      </w:pPr>
      <w:r>
        <w:rPr>
          <w:rFonts w:hint="eastAsia" w:ascii="黑体" w:hAnsi="黑体" w:eastAsia="黑体" w:cs="黑体"/>
          <w:kern w:val="0"/>
          <w:sz w:val="44"/>
          <w:szCs w:val="44"/>
        </w:rPr>
        <w:t>第三部分 2018年度部门决算情况说明</w:t>
      </w:r>
    </w:p>
    <w:p>
      <w:pPr>
        <w:spacing w:line="540" w:lineRule="exact"/>
        <w:outlineLvl w:val="1"/>
        <w:rPr>
          <w:rFonts w:ascii="黑体" w:hAnsi="宋体" w:eastAsia="黑体"/>
          <w:kern w:val="0"/>
          <w:sz w:val="32"/>
          <w:szCs w:val="32"/>
        </w:rPr>
      </w:pPr>
    </w:p>
    <w:p>
      <w:pPr>
        <w:spacing w:line="560" w:lineRule="exact"/>
        <w:outlineLvl w:val="1"/>
        <w:rPr>
          <w:rFonts w:ascii="黑体" w:hAnsi="黑体" w:eastAsia="黑体" w:cs="黑体"/>
          <w:kern w:val="0"/>
          <w:sz w:val="32"/>
          <w:szCs w:val="32"/>
        </w:rPr>
      </w:pPr>
      <w:r>
        <w:rPr>
          <w:rFonts w:hint="eastAsia" w:ascii="黑体" w:hAnsi="黑体" w:eastAsia="黑体" w:cs="黑体"/>
          <w:kern w:val="0"/>
          <w:sz w:val="32"/>
          <w:szCs w:val="32"/>
        </w:rPr>
        <w:t xml:space="preserve">一、收入支出决算总体情况说明   </w:t>
      </w:r>
    </w:p>
    <w:p>
      <w:pPr>
        <w:spacing w:line="560" w:lineRule="exact"/>
        <w:ind w:firstLine="537" w:firstLineChars="168"/>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w:t>
      </w:r>
      <w:r>
        <w:rPr>
          <w:rFonts w:ascii="仿宋_GB2312" w:hAnsi="宋体" w:eastAsia="仿宋_GB2312"/>
          <w:kern w:val="0"/>
          <w:sz w:val="32"/>
          <w:szCs w:val="32"/>
        </w:rPr>
        <w:t>年度收入总计</w:t>
      </w:r>
      <w:r>
        <w:rPr>
          <w:rFonts w:hint="eastAsia" w:ascii="仿宋_GB2312" w:hAnsi="宋体" w:eastAsia="仿宋_GB2312"/>
          <w:kern w:val="0"/>
          <w:sz w:val="32"/>
          <w:szCs w:val="32"/>
        </w:rPr>
        <w:t>16301047.76</w:t>
      </w:r>
      <w:r>
        <w:rPr>
          <w:rFonts w:ascii="仿宋_GB2312" w:hAnsi="宋体" w:eastAsia="仿宋_GB2312"/>
          <w:kern w:val="0"/>
          <w:sz w:val="32"/>
          <w:szCs w:val="32"/>
        </w:rPr>
        <w:t>元</w:t>
      </w:r>
      <w:r>
        <w:rPr>
          <w:rFonts w:hint="eastAsia" w:ascii="仿宋_GB2312" w:hAnsi="宋体" w:eastAsia="仿宋_GB2312"/>
          <w:kern w:val="0"/>
          <w:sz w:val="32"/>
          <w:szCs w:val="32"/>
        </w:rPr>
        <w:t>，</w:t>
      </w:r>
      <w:r>
        <w:rPr>
          <w:rFonts w:ascii="仿宋_GB2312" w:hAnsi="宋体" w:eastAsia="仿宋_GB2312"/>
          <w:kern w:val="0"/>
          <w:sz w:val="32"/>
          <w:szCs w:val="32"/>
        </w:rPr>
        <w:t>支出总计</w:t>
      </w:r>
      <w:r>
        <w:rPr>
          <w:rFonts w:hint="eastAsia" w:ascii="仿宋_GB2312" w:hAnsi="宋体" w:eastAsia="仿宋_GB2312"/>
          <w:kern w:val="0"/>
          <w:sz w:val="32"/>
          <w:szCs w:val="32"/>
        </w:rPr>
        <w:t>16301047.76</w:t>
      </w:r>
      <w:r>
        <w:rPr>
          <w:rFonts w:ascii="仿宋_GB2312" w:hAnsi="宋体" w:eastAsia="仿宋_GB2312"/>
          <w:kern w:val="0"/>
          <w:sz w:val="32"/>
          <w:szCs w:val="32"/>
        </w:rPr>
        <w:t>元。与</w:t>
      </w:r>
      <w:r>
        <w:rPr>
          <w:rFonts w:hint="eastAsia" w:ascii="仿宋_GB2312" w:hAnsi="宋体" w:eastAsia="仿宋_GB2312"/>
          <w:kern w:val="0"/>
          <w:sz w:val="32"/>
          <w:szCs w:val="32"/>
        </w:rPr>
        <w:t>上</w:t>
      </w:r>
      <w:r>
        <w:rPr>
          <w:rFonts w:ascii="仿宋_GB2312" w:hAnsi="宋体" w:eastAsia="仿宋_GB2312"/>
          <w:kern w:val="0"/>
          <w:sz w:val="32"/>
          <w:szCs w:val="32"/>
        </w:rPr>
        <w:t>年相比，收</w:t>
      </w:r>
      <w:r>
        <w:rPr>
          <w:rFonts w:hint="eastAsia" w:ascii="仿宋_GB2312" w:hAnsi="宋体" w:eastAsia="仿宋_GB2312"/>
          <w:kern w:val="0"/>
          <w:sz w:val="32"/>
          <w:szCs w:val="32"/>
        </w:rPr>
        <w:t>、支出</w:t>
      </w:r>
      <w:r>
        <w:rPr>
          <w:rFonts w:ascii="仿宋_GB2312" w:hAnsi="宋体" w:eastAsia="仿宋_GB2312"/>
          <w:kern w:val="0"/>
          <w:sz w:val="32"/>
          <w:szCs w:val="32"/>
        </w:rPr>
        <w:t>总计</w:t>
      </w:r>
      <w:r>
        <w:rPr>
          <w:rFonts w:hint="eastAsia" w:ascii="仿宋_GB2312" w:hAnsi="宋体" w:eastAsia="仿宋_GB2312"/>
          <w:kern w:val="0"/>
          <w:sz w:val="32"/>
          <w:szCs w:val="32"/>
        </w:rPr>
        <w:t>各</w:t>
      </w:r>
      <w:r>
        <w:rPr>
          <w:rFonts w:ascii="仿宋_GB2312" w:hAnsi="宋体" w:eastAsia="仿宋_GB2312"/>
          <w:kern w:val="0"/>
          <w:sz w:val="32"/>
          <w:szCs w:val="32"/>
        </w:rPr>
        <w:t>增加</w:t>
      </w:r>
      <w:r>
        <w:rPr>
          <w:rFonts w:hint="eastAsia" w:ascii="仿宋_GB2312" w:hAnsi="宋体" w:eastAsia="仿宋_GB2312"/>
          <w:kern w:val="0"/>
          <w:sz w:val="32"/>
          <w:szCs w:val="32"/>
        </w:rPr>
        <w:t>933253.32</w:t>
      </w:r>
      <w:r>
        <w:rPr>
          <w:rFonts w:ascii="仿宋_GB2312" w:hAnsi="宋体" w:eastAsia="仿宋_GB2312"/>
          <w:kern w:val="0"/>
          <w:sz w:val="32"/>
          <w:szCs w:val="32"/>
        </w:rPr>
        <w:t>元，增长</w:t>
      </w:r>
      <w:r>
        <w:rPr>
          <w:rFonts w:hint="eastAsia" w:ascii="仿宋_GB2312" w:hAnsi="宋体" w:eastAsia="仿宋_GB2312"/>
          <w:kern w:val="0"/>
          <w:sz w:val="32"/>
          <w:szCs w:val="32"/>
        </w:rPr>
        <w:t>6.07</w:t>
      </w:r>
      <w:r>
        <w:rPr>
          <w:rFonts w:ascii="仿宋_GB2312" w:hAnsi="宋体" w:eastAsia="仿宋_GB2312"/>
          <w:kern w:val="0"/>
          <w:sz w:val="32"/>
          <w:szCs w:val="32"/>
        </w:rPr>
        <w:t>%</w:t>
      </w:r>
      <w:r>
        <w:rPr>
          <w:rFonts w:hint="eastAsia" w:ascii="仿宋_GB2312" w:hAnsi="宋体" w:eastAsia="仿宋_GB2312"/>
          <w:kern w:val="0"/>
          <w:sz w:val="32"/>
          <w:szCs w:val="32"/>
        </w:rPr>
        <w:t>，主要原因是调资、调整社保基数引起工资性支出增加。</w:t>
      </w:r>
    </w:p>
    <w:p>
      <w:pPr>
        <w:spacing w:line="560" w:lineRule="exact"/>
        <w:outlineLvl w:val="1"/>
        <w:rPr>
          <w:rFonts w:ascii="黑体" w:hAnsi="黑体" w:eastAsia="黑体" w:cs="黑体"/>
          <w:kern w:val="0"/>
          <w:sz w:val="32"/>
          <w:szCs w:val="32"/>
        </w:rPr>
      </w:pPr>
      <w:r>
        <w:rPr>
          <w:rFonts w:hint="eastAsia" w:ascii="黑体" w:hAnsi="黑体" w:eastAsia="黑体" w:cs="黑体"/>
          <w:kern w:val="0"/>
          <w:sz w:val="32"/>
          <w:szCs w:val="32"/>
        </w:rPr>
        <w:t>二、收入决算情况说明</w:t>
      </w:r>
    </w:p>
    <w:p>
      <w:pPr>
        <w:spacing w:line="560" w:lineRule="exact"/>
        <w:ind w:firstLine="537" w:firstLineChars="168"/>
        <w:outlineLvl w:val="1"/>
        <w:rPr>
          <w:rFonts w:ascii="仿宋_GB2312" w:hAnsi="宋体" w:eastAsia="仿宋_GB2312"/>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w:t>
      </w:r>
      <w:r>
        <w:rPr>
          <w:rFonts w:ascii="仿宋_GB2312" w:hAnsi="宋体" w:eastAsia="仿宋_GB2312"/>
          <w:kern w:val="0"/>
          <w:sz w:val="32"/>
          <w:szCs w:val="32"/>
        </w:rPr>
        <w:t>年度</w:t>
      </w:r>
      <w:r>
        <w:rPr>
          <w:rFonts w:ascii="仿宋_GB2312" w:hAnsi="宋体" w:eastAsia="仿宋_GB2312"/>
          <w:sz w:val="32"/>
          <w:szCs w:val="32"/>
        </w:rPr>
        <w:t>收入合计</w:t>
      </w:r>
      <w:r>
        <w:rPr>
          <w:rFonts w:ascii="仿宋_GB2312" w:hAnsi="宋体" w:eastAsia="仿宋_GB2312"/>
          <w:kern w:val="0"/>
          <w:sz w:val="32"/>
          <w:szCs w:val="32"/>
        </w:rPr>
        <w:t>15506004.05</w:t>
      </w:r>
      <w:r>
        <w:rPr>
          <w:rFonts w:ascii="仿宋_GB2312" w:hAnsi="宋体" w:eastAsia="仿宋_GB2312"/>
          <w:sz w:val="32"/>
          <w:szCs w:val="32"/>
        </w:rPr>
        <w:t>元，</w:t>
      </w:r>
      <w:r>
        <w:rPr>
          <w:rFonts w:hint="eastAsia" w:ascii="仿宋_GB2312" w:hAnsi="宋体" w:eastAsia="仿宋_GB2312"/>
          <w:sz w:val="32"/>
          <w:szCs w:val="32"/>
        </w:rPr>
        <w:t>其中：财政拨款收入</w:t>
      </w:r>
      <w:r>
        <w:rPr>
          <w:rFonts w:ascii="仿宋_GB2312" w:hAnsi="宋体" w:eastAsia="仿宋_GB2312"/>
          <w:kern w:val="0"/>
          <w:sz w:val="32"/>
          <w:szCs w:val="32"/>
        </w:rPr>
        <w:t>15506004.05</w:t>
      </w:r>
      <w:r>
        <w:rPr>
          <w:rFonts w:hint="eastAsia" w:ascii="仿宋_GB2312" w:hAnsi="宋体" w:eastAsia="仿宋_GB2312"/>
          <w:sz w:val="32"/>
          <w:szCs w:val="32"/>
        </w:rPr>
        <w:t>元，占100</w:t>
      </w:r>
      <w:r>
        <w:rPr>
          <w:rFonts w:ascii="仿宋_GB2312" w:hAnsi="宋体" w:eastAsia="仿宋_GB2312"/>
          <w:sz w:val="32"/>
          <w:szCs w:val="32"/>
        </w:rPr>
        <w:t>%</w:t>
      </w:r>
      <w:r>
        <w:rPr>
          <w:rFonts w:hint="eastAsia" w:ascii="仿宋_GB2312" w:hAnsi="宋体" w:eastAsia="仿宋_GB2312"/>
          <w:sz w:val="32"/>
          <w:szCs w:val="32"/>
        </w:rPr>
        <w:t>；上级补助收入0元，占0</w:t>
      </w:r>
      <w:r>
        <w:rPr>
          <w:rFonts w:ascii="仿宋_GB2312" w:hAnsi="宋体" w:eastAsia="仿宋_GB2312"/>
          <w:sz w:val="32"/>
          <w:szCs w:val="32"/>
        </w:rPr>
        <w:t>%</w:t>
      </w:r>
      <w:r>
        <w:rPr>
          <w:rFonts w:hint="eastAsia" w:ascii="仿宋_GB2312" w:hAnsi="宋体" w:eastAsia="仿宋_GB2312"/>
          <w:sz w:val="32"/>
          <w:szCs w:val="32"/>
        </w:rPr>
        <w:t>；事业收入0元，占0</w:t>
      </w:r>
      <w:r>
        <w:rPr>
          <w:rFonts w:ascii="仿宋_GB2312" w:hAnsi="宋体" w:eastAsia="仿宋_GB2312"/>
          <w:sz w:val="32"/>
          <w:szCs w:val="32"/>
        </w:rPr>
        <w:t>%</w:t>
      </w:r>
      <w:r>
        <w:rPr>
          <w:rFonts w:hint="eastAsia" w:ascii="仿宋_GB2312" w:hAnsi="宋体" w:eastAsia="仿宋_GB2312"/>
          <w:sz w:val="32"/>
          <w:szCs w:val="32"/>
        </w:rPr>
        <w:t>；经营收入0元，占0</w:t>
      </w:r>
      <w:r>
        <w:rPr>
          <w:rFonts w:ascii="仿宋_GB2312" w:hAnsi="宋体" w:eastAsia="仿宋_GB2312"/>
          <w:sz w:val="32"/>
          <w:szCs w:val="32"/>
        </w:rPr>
        <w:t>%</w:t>
      </w:r>
      <w:r>
        <w:rPr>
          <w:rFonts w:hint="eastAsia" w:ascii="仿宋_GB2312" w:hAnsi="宋体" w:eastAsia="仿宋_GB2312"/>
          <w:sz w:val="32"/>
          <w:szCs w:val="32"/>
        </w:rPr>
        <w:t>；附属单位上缴收入0元，占0</w:t>
      </w:r>
      <w:r>
        <w:rPr>
          <w:rFonts w:ascii="仿宋_GB2312" w:hAnsi="宋体" w:eastAsia="仿宋_GB2312"/>
          <w:sz w:val="32"/>
          <w:szCs w:val="32"/>
        </w:rPr>
        <w:t>%</w:t>
      </w:r>
      <w:r>
        <w:rPr>
          <w:rFonts w:hint="eastAsia" w:ascii="仿宋_GB2312" w:hAnsi="宋体" w:eastAsia="仿宋_GB2312"/>
          <w:sz w:val="32"/>
          <w:szCs w:val="32"/>
        </w:rPr>
        <w:t>；其他收入0元，占0</w:t>
      </w:r>
      <w:r>
        <w:rPr>
          <w:rFonts w:ascii="仿宋_GB2312" w:hAnsi="宋体" w:eastAsia="仿宋_GB2312"/>
          <w:sz w:val="32"/>
          <w:szCs w:val="32"/>
        </w:rPr>
        <w:t>%</w:t>
      </w:r>
      <w:r>
        <w:rPr>
          <w:rFonts w:hint="eastAsia" w:ascii="仿宋_GB2312" w:hAnsi="宋体" w:eastAsia="仿宋_GB2312"/>
          <w:sz w:val="32"/>
          <w:szCs w:val="32"/>
        </w:rPr>
        <w:t>。</w:t>
      </w:r>
    </w:p>
    <w:p>
      <w:pPr>
        <w:spacing w:line="560" w:lineRule="exact"/>
        <w:outlineLvl w:val="1"/>
        <w:rPr>
          <w:rFonts w:ascii="黑体" w:hAnsi="黑体" w:eastAsia="黑体" w:cs="黑体"/>
          <w:kern w:val="0"/>
          <w:sz w:val="32"/>
          <w:szCs w:val="32"/>
        </w:rPr>
      </w:pPr>
      <w:r>
        <w:rPr>
          <w:rFonts w:hint="eastAsia" w:ascii="黑体" w:hAnsi="黑体" w:eastAsia="黑体" w:cs="黑体"/>
          <w:kern w:val="0"/>
          <w:sz w:val="32"/>
          <w:szCs w:val="32"/>
        </w:rPr>
        <w:t>三、支出决算情况说明</w:t>
      </w:r>
    </w:p>
    <w:p>
      <w:pPr>
        <w:spacing w:line="560" w:lineRule="exact"/>
        <w:ind w:firstLine="614" w:firstLineChars="192"/>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w:t>
      </w:r>
      <w:r>
        <w:rPr>
          <w:rFonts w:ascii="仿宋_GB2312" w:hAnsi="宋体" w:eastAsia="仿宋_GB2312"/>
          <w:kern w:val="0"/>
          <w:sz w:val="32"/>
          <w:szCs w:val="32"/>
        </w:rPr>
        <w:t>年度支出合计15570419.41元，其中：基本支出</w:t>
      </w:r>
      <w:r>
        <w:rPr>
          <w:rFonts w:hint="eastAsia" w:ascii="仿宋_GB2312" w:hAnsi="宋体" w:eastAsia="仿宋_GB2312"/>
          <w:kern w:val="0"/>
          <w:sz w:val="32"/>
          <w:szCs w:val="32"/>
        </w:rPr>
        <w:t>15,558,419.41</w:t>
      </w:r>
      <w:r>
        <w:rPr>
          <w:rFonts w:ascii="仿宋_GB2312" w:hAnsi="宋体" w:eastAsia="仿宋_GB2312"/>
          <w:kern w:val="0"/>
          <w:sz w:val="32"/>
          <w:szCs w:val="32"/>
        </w:rPr>
        <w:t>元</w:t>
      </w:r>
      <w:r>
        <w:rPr>
          <w:rFonts w:hint="eastAsia" w:ascii="仿宋_GB2312" w:hAnsi="宋体" w:eastAsia="仿宋_GB2312"/>
          <w:kern w:val="0"/>
          <w:sz w:val="32"/>
          <w:szCs w:val="32"/>
        </w:rPr>
        <w:t>，</w:t>
      </w:r>
      <w:r>
        <w:rPr>
          <w:rFonts w:ascii="仿宋_GB2312" w:hAnsi="宋体" w:eastAsia="仿宋_GB2312"/>
          <w:kern w:val="0"/>
          <w:sz w:val="32"/>
          <w:szCs w:val="32"/>
        </w:rPr>
        <w:t>占</w:t>
      </w:r>
      <w:r>
        <w:rPr>
          <w:rFonts w:hint="eastAsia" w:ascii="仿宋_GB2312" w:hAnsi="宋体" w:eastAsia="仿宋_GB2312"/>
          <w:kern w:val="0"/>
          <w:sz w:val="32"/>
          <w:szCs w:val="32"/>
        </w:rPr>
        <w:t>99.92</w:t>
      </w:r>
      <w:r>
        <w:rPr>
          <w:rFonts w:ascii="仿宋_GB2312" w:hAnsi="宋体" w:eastAsia="仿宋_GB2312"/>
          <w:kern w:val="0"/>
          <w:sz w:val="32"/>
          <w:szCs w:val="32"/>
        </w:rPr>
        <w:t>%；项目支出</w:t>
      </w:r>
      <w:r>
        <w:rPr>
          <w:rFonts w:hint="eastAsia" w:ascii="仿宋_GB2312" w:hAnsi="宋体" w:eastAsia="仿宋_GB2312"/>
          <w:kern w:val="0"/>
          <w:sz w:val="32"/>
          <w:szCs w:val="32"/>
        </w:rPr>
        <w:t>12,000.00</w:t>
      </w:r>
      <w:r>
        <w:rPr>
          <w:rFonts w:ascii="仿宋_GB2312" w:hAnsi="宋体" w:eastAsia="仿宋_GB2312"/>
          <w:kern w:val="0"/>
          <w:sz w:val="32"/>
          <w:szCs w:val="32"/>
        </w:rPr>
        <w:t>元，占</w:t>
      </w:r>
      <w:r>
        <w:rPr>
          <w:rFonts w:hint="eastAsia" w:ascii="仿宋_GB2312" w:hAnsi="宋体" w:eastAsia="仿宋_GB2312"/>
          <w:kern w:val="0"/>
          <w:sz w:val="32"/>
          <w:szCs w:val="32"/>
        </w:rPr>
        <w:t>0.08</w:t>
      </w:r>
      <w:r>
        <w:rPr>
          <w:rFonts w:ascii="仿宋_GB2312" w:hAnsi="宋体" w:eastAsia="仿宋_GB2312"/>
          <w:kern w:val="0"/>
          <w:sz w:val="32"/>
          <w:szCs w:val="32"/>
        </w:rPr>
        <w:t>%；</w:t>
      </w:r>
      <w:r>
        <w:rPr>
          <w:rFonts w:hint="eastAsia" w:ascii="仿宋_GB2312" w:hAnsi="宋体" w:eastAsia="仿宋_GB2312"/>
          <w:kern w:val="0"/>
          <w:sz w:val="32"/>
          <w:szCs w:val="32"/>
        </w:rPr>
        <w:t>上缴上级支出0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%；经营支出</w:t>
      </w:r>
      <w:r>
        <w:rPr>
          <w:rFonts w:hint="eastAsia" w:ascii="仿宋_GB2312" w:hAnsi="宋体" w:eastAsia="仿宋_GB2312"/>
          <w:kern w:val="0"/>
          <w:sz w:val="32"/>
          <w:szCs w:val="32"/>
        </w:rPr>
        <w:t>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w:t>
      </w:r>
      <w:r>
        <w:rPr>
          <w:rFonts w:hint="eastAsia" w:ascii="仿宋_GB2312" w:hAnsi="宋体" w:eastAsia="仿宋_GB2312"/>
          <w:kern w:val="0"/>
          <w:sz w:val="32"/>
          <w:szCs w:val="32"/>
        </w:rPr>
        <w:t>；对附属单位补助支出0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outlineLvl w:val="1"/>
        <w:rPr>
          <w:rFonts w:ascii="黑体" w:hAnsi="黑体" w:eastAsia="黑体" w:cs="黑体"/>
          <w:kern w:val="0"/>
          <w:sz w:val="32"/>
          <w:szCs w:val="32"/>
        </w:rPr>
      </w:pPr>
      <w:r>
        <w:rPr>
          <w:rFonts w:hint="eastAsia" w:ascii="黑体" w:hAnsi="黑体" w:eastAsia="黑体" w:cs="黑体"/>
          <w:kern w:val="0"/>
          <w:sz w:val="32"/>
          <w:szCs w:val="32"/>
        </w:rPr>
        <w:t xml:space="preserve">四、财政拨款收入支出决算总体情况说明  </w:t>
      </w:r>
    </w:p>
    <w:p>
      <w:pPr>
        <w:spacing w:line="560" w:lineRule="exact"/>
        <w:ind w:firstLine="537" w:firstLineChars="168"/>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8年度财政拨款</w:t>
      </w:r>
      <w:r>
        <w:rPr>
          <w:rFonts w:ascii="仿宋_GB2312" w:hAnsi="宋体" w:eastAsia="仿宋_GB2312"/>
          <w:kern w:val="0"/>
          <w:sz w:val="32"/>
          <w:szCs w:val="32"/>
        </w:rPr>
        <w:t>收入总计16301047.76元，支出总计16301047.76元。</w:t>
      </w:r>
      <w:r>
        <w:rPr>
          <w:rFonts w:hint="eastAsia" w:ascii="仿宋_GB2312" w:hAnsi="宋体" w:eastAsia="仿宋_GB2312"/>
          <w:kern w:val="0"/>
          <w:sz w:val="32"/>
          <w:szCs w:val="32"/>
        </w:rPr>
        <w:t>与上年相比，财政拨款收、支</w:t>
      </w:r>
      <w:r>
        <w:rPr>
          <w:rFonts w:ascii="仿宋_GB2312" w:hAnsi="宋体" w:eastAsia="仿宋_GB2312"/>
          <w:kern w:val="0"/>
          <w:sz w:val="32"/>
          <w:szCs w:val="32"/>
        </w:rPr>
        <w:t>总计</w:t>
      </w:r>
      <w:r>
        <w:rPr>
          <w:rFonts w:hint="eastAsia" w:ascii="仿宋_GB2312" w:hAnsi="宋体" w:eastAsia="仿宋_GB2312"/>
          <w:kern w:val="0"/>
          <w:sz w:val="32"/>
          <w:szCs w:val="32"/>
        </w:rPr>
        <w:t>各</w:t>
      </w:r>
      <w:r>
        <w:rPr>
          <w:rFonts w:ascii="仿宋_GB2312" w:hAnsi="宋体" w:eastAsia="仿宋_GB2312"/>
          <w:kern w:val="0"/>
          <w:sz w:val="32"/>
          <w:szCs w:val="32"/>
        </w:rPr>
        <w:t>增加</w:t>
      </w:r>
      <w:r>
        <w:rPr>
          <w:rFonts w:hint="eastAsia" w:ascii="仿宋_GB2312" w:hAnsi="宋体" w:eastAsia="仿宋_GB2312"/>
          <w:kern w:val="0"/>
          <w:sz w:val="32"/>
          <w:szCs w:val="32"/>
        </w:rPr>
        <w:t>933253.32</w:t>
      </w:r>
      <w:r>
        <w:rPr>
          <w:rFonts w:ascii="仿宋_GB2312" w:hAnsi="宋体" w:eastAsia="仿宋_GB2312"/>
          <w:kern w:val="0"/>
          <w:sz w:val="32"/>
          <w:szCs w:val="32"/>
        </w:rPr>
        <w:t>元，增长</w:t>
      </w:r>
      <w:r>
        <w:rPr>
          <w:rFonts w:hint="eastAsia" w:ascii="仿宋_GB2312" w:hAnsi="宋体" w:eastAsia="仿宋_GB2312"/>
          <w:kern w:val="0"/>
          <w:sz w:val="32"/>
          <w:szCs w:val="32"/>
        </w:rPr>
        <w:t>6.07</w:t>
      </w:r>
      <w:r>
        <w:rPr>
          <w:rFonts w:ascii="仿宋_GB2312" w:hAnsi="宋体" w:eastAsia="仿宋_GB2312"/>
          <w:kern w:val="0"/>
          <w:sz w:val="32"/>
          <w:szCs w:val="32"/>
        </w:rPr>
        <w:t>%</w:t>
      </w:r>
      <w:r>
        <w:rPr>
          <w:rFonts w:hint="eastAsia" w:ascii="仿宋_GB2312" w:hAnsi="宋体" w:eastAsia="仿宋_GB2312"/>
          <w:kern w:val="0"/>
          <w:sz w:val="32"/>
          <w:szCs w:val="32"/>
        </w:rPr>
        <w:t>，主要原因是调资、调整社保基数引起工资性支出增加</w:t>
      </w:r>
      <w:r>
        <w:rPr>
          <w:rFonts w:ascii="仿宋_GB2312" w:hAnsi="宋体" w:eastAsia="仿宋_GB2312"/>
          <w:kern w:val="0"/>
          <w:sz w:val="32"/>
          <w:szCs w:val="32"/>
        </w:rPr>
        <w:t>。</w:t>
      </w:r>
    </w:p>
    <w:p>
      <w:pPr>
        <w:spacing w:line="560" w:lineRule="exact"/>
        <w:outlineLvl w:val="1"/>
        <w:rPr>
          <w:rFonts w:ascii="黑体" w:hAnsi="黑体" w:eastAsia="黑体" w:cs="黑体"/>
          <w:kern w:val="0"/>
          <w:sz w:val="32"/>
          <w:szCs w:val="32"/>
        </w:rPr>
      </w:pPr>
      <w:r>
        <w:rPr>
          <w:rFonts w:hint="eastAsia" w:ascii="黑体" w:hAnsi="黑体" w:eastAsia="黑体" w:cs="黑体"/>
          <w:kern w:val="0"/>
          <w:sz w:val="32"/>
          <w:szCs w:val="32"/>
        </w:rPr>
        <w:t>五、一般公共预算财政拨款支出决算情况说明</w:t>
      </w:r>
    </w:p>
    <w:p>
      <w:pPr>
        <w:numPr>
          <w:ilvl w:val="0"/>
          <w:numId w:val="2"/>
        </w:numPr>
        <w:spacing w:line="56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p>
    <w:p>
      <w:pPr>
        <w:spacing w:line="560" w:lineRule="exact"/>
        <w:ind w:firstLine="537" w:firstLineChars="168"/>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2018年度一般公共预算财政拨款支出</w:t>
      </w:r>
      <w:r>
        <w:rPr>
          <w:rFonts w:ascii="仿宋_GB2312" w:hAnsi="宋体" w:eastAsia="仿宋_GB2312"/>
          <w:kern w:val="0"/>
          <w:sz w:val="32"/>
          <w:szCs w:val="32"/>
        </w:rPr>
        <w:t>15570419.41</w:t>
      </w:r>
      <w:r>
        <w:rPr>
          <w:rFonts w:hint="eastAsia" w:ascii="仿宋_GB2312" w:hAnsi="仿宋_GB2312" w:eastAsia="仿宋_GB2312" w:cs="仿宋_GB2312"/>
          <w:kern w:val="0"/>
          <w:sz w:val="32"/>
          <w:szCs w:val="32"/>
        </w:rPr>
        <w:t>元，占本年支出合计的100%。与</w:t>
      </w:r>
      <w:r>
        <w:rPr>
          <w:rFonts w:hint="eastAsia" w:ascii="仿宋_GB2312" w:hAnsi="宋体" w:eastAsia="仿宋_GB2312"/>
          <w:kern w:val="0"/>
          <w:sz w:val="32"/>
          <w:szCs w:val="32"/>
        </w:rPr>
        <w:t>上</w:t>
      </w:r>
      <w:r>
        <w:rPr>
          <w:rFonts w:hint="eastAsia" w:ascii="仿宋_GB2312" w:hAnsi="仿宋_GB2312" w:eastAsia="仿宋_GB2312" w:cs="仿宋_GB2312"/>
          <w:kern w:val="0"/>
          <w:sz w:val="32"/>
          <w:szCs w:val="32"/>
        </w:rPr>
        <w:t>年相比，一般公共预算财政拨款支出增加</w:t>
      </w:r>
      <w:r>
        <w:rPr>
          <w:rFonts w:hint="eastAsia" w:ascii="仿宋_GB2312" w:hAnsi="宋体" w:eastAsia="仿宋_GB2312"/>
          <w:kern w:val="0"/>
          <w:sz w:val="32"/>
          <w:szCs w:val="32"/>
        </w:rPr>
        <w:t>1129972.48元，增长78.25%</w:t>
      </w:r>
      <w:r>
        <w:rPr>
          <w:rFonts w:hint="eastAsia" w:ascii="仿宋_GB2312" w:hAnsi="仿宋_GB2312" w:eastAsia="仿宋_GB2312" w:cs="仿宋_GB2312"/>
          <w:kern w:val="0"/>
          <w:sz w:val="32"/>
          <w:szCs w:val="32"/>
        </w:rPr>
        <w:t>，主要原因是</w:t>
      </w:r>
      <w:r>
        <w:rPr>
          <w:rFonts w:hint="eastAsia" w:ascii="仿宋_GB2312" w:hAnsi="宋体" w:eastAsia="仿宋_GB2312"/>
          <w:kern w:val="0"/>
          <w:sz w:val="32"/>
          <w:szCs w:val="32"/>
        </w:rPr>
        <w:t>调资、调整社保基数引起工资性支出增加</w:t>
      </w:r>
      <w:r>
        <w:rPr>
          <w:rFonts w:ascii="仿宋_GB2312" w:hAnsi="宋体" w:eastAsia="仿宋_GB2312"/>
          <w:kern w:val="0"/>
          <w:sz w:val="32"/>
          <w:szCs w:val="32"/>
        </w:rPr>
        <w:t>。</w:t>
      </w:r>
    </w:p>
    <w:p>
      <w:pPr>
        <w:numPr>
          <w:ilvl w:val="0"/>
          <w:numId w:val="2"/>
        </w:numPr>
        <w:spacing w:line="56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2018年度一般公共预算财政拨款支出</w:t>
      </w:r>
      <w:r>
        <w:rPr>
          <w:rFonts w:ascii="仿宋_GB2312" w:hAnsi="宋体" w:eastAsia="仿宋_GB2312"/>
          <w:kern w:val="0"/>
          <w:sz w:val="32"/>
          <w:szCs w:val="32"/>
        </w:rPr>
        <w:t>15570419.41</w:t>
      </w:r>
      <w:r>
        <w:rPr>
          <w:rFonts w:hint="eastAsia" w:ascii="仿宋_GB2312" w:hAnsi="仿宋_GB2312" w:eastAsia="仿宋_GB2312" w:cs="仿宋_GB2312"/>
          <w:kern w:val="0"/>
          <w:sz w:val="32"/>
          <w:szCs w:val="32"/>
        </w:rPr>
        <w:t>元，主要用于以下方面：教育（类）支出</w:t>
      </w:r>
      <w:r>
        <w:rPr>
          <w:rFonts w:ascii="仿宋_GB2312" w:hAnsi="仿宋_GB2312" w:eastAsia="仿宋_GB2312" w:cs="仿宋_GB2312"/>
          <w:kern w:val="0"/>
          <w:sz w:val="32"/>
          <w:szCs w:val="32"/>
        </w:rPr>
        <w:t>11170231.58</w:t>
      </w:r>
      <w:r>
        <w:rPr>
          <w:rFonts w:hint="eastAsia" w:ascii="仿宋_GB2312" w:hAnsi="仿宋_GB2312" w:eastAsia="仿宋_GB2312" w:cs="仿宋_GB2312"/>
          <w:kern w:val="0"/>
          <w:sz w:val="32"/>
          <w:szCs w:val="32"/>
        </w:rPr>
        <w:t>元，占71.74%；社会保障和就业（类）支出</w:t>
      </w:r>
      <w:r>
        <w:rPr>
          <w:rFonts w:ascii="仿宋_GB2312" w:hAnsi="仿宋_GB2312" w:eastAsia="仿宋_GB2312" w:cs="仿宋_GB2312"/>
          <w:kern w:val="0"/>
          <w:sz w:val="32"/>
          <w:szCs w:val="32"/>
        </w:rPr>
        <w:t>2740490.07</w:t>
      </w:r>
      <w:r>
        <w:rPr>
          <w:rFonts w:hint="eastAsia" w:ascii="仿宋_GB2312" w:hAnsi="仿宋_GB2312" w:eastAsia="仿宋_GB2312" w:cs="仿宋_GB2312"/>
          <w:kern w:val="0"/>
          <w:sz w:val="32"/>
          <w:szCs w:val="32"/>
        </w:rPr>
        <w:t>元，占17.60%；医疗卫生与计划生育支出</w:t>
      </w:r>
      <w:r>
        <w:rPr>
          <w:rFonts w:ascii="仿宋_GB2312" w:hAnsi="仿宋_GB2312" w:eastAsia="仿宋_GB2312" w:cs="仿宋_GB2312"/>
          <w:kern w:val="0"/>
          <w:sz w:val="32"/>
          <w:szCs w:val="32"/>
        </w:rPr>
        <w:t>544523.56</w:t>
      </w:r>
      <w:r>
        <w:rPr>
          <w:rFonts w:hint="eastAsia" w:ascii="仿宋_GB2312" w:hAnsi="仿宋_GB2312" w:eastAsia="仿宋_GB2312" w:cs="仿宋_GB2312"/>
          <w:kern w:val="0"/>
          <w:sz w:val="32"/>
          <w:szCs w:val="32"/>
        </w:rPr>
        <w:t>元，占3.50 %；住房保障（类）支出</w:t>
      </w:r>
      <w:r>
        <w:rPr>
          <w:rFonts w:ascii="仿宋_GB2312" w:hAnsi="仿宋_GB2312" w:eastAsia="仿宋_GB2312" w:cs="仿宋_GB2312"/>
          <w:kern w:val="0"/>
          <w:sz w:val="32"/>
          <w:szCs w:val="32"/>
        </w:rPr>
        <w:t>1115174.2</w:t>
      </w:r>
      <w:r>
        <w:rPr>
          <w:rFonts w:hint="eastAsia" w:ascii="仿宋_GB2312" w:hAnsi="仿宋_GB2312" w:eastAsia="仿宋_GB2312" w:cs="仿宋_GB2312"/>
          <w:kern w:val="0"/>
          <w:sz w:val="32"/>
          <w:szCs w:val="32"/>
        </w:rPr>
        <w:t>元，占7.16%。</w:t>
      </w:r>
    </w:p>
    <w:p>
      <w:pPr>
        <w:spacing w:line="560" w:lineRule="exact"/>
        <w:ind w:firstLine="614" w:firstLineChars="19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p>
    <w:p>
      <w:pPr>
        <w:spacing w:line="560" w:lineRule="exact"/>
        <w:ind w:firstLine="611" w:firstLineChars="19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2018年度一般公共预算财政拨款支出年初预算为</w:t>
      </w:r>
      <w:r>
        <w:rPr>
          <w:rFonts w:ascii="仿宋_GB2312" w:hAnsi="仿宋_GB2312" w:eastAsia="仿宋_GB2312" w:cs="仿宋_GB2312"/>
          <w:kern w:val="0"/>
          <w:sz w:val="32"/>
          <w:szCs w:val="32"/>
        </w:rPr>
        <w:t>10817169.17</w:t>
      </w:r>
      <w:r>
        <w:rPr>
          <w:rFonts w:hint="eastAsia" w:ascii="仿宋_GB2312" w:hAnsi="仿宋_GB2312" w:eastAsia="仿宋_GB2312" w:cs="仿宋_GB2312"/>
          <w:kern w:val="0"/>
          <w:sz w:val="32"/>
          <w:szCs w:val="32"/>
        </w:rPr>
        <w:t>元，支出决算为</w:t>
      </w:r>
      <w:r>
        <w:rPr>
          <w:rFonts w:ascii="仿宋_GB2312" w:hAnsi="宋体" w:eastAsia="仿宋_GB2312"/>
          <w:kern w:val="0"/>
          <w:sz w:val="32"/>
          <w:szCs w:val="32"/>
        </w:rPr>
        <w:t>15570419.41</w:t>
      </w:r>
      <w:r>
        <w:rPr>
          <w:rFonts w:hint="eastAsia" w:ascii="仿宋_GB2312" w:hAnsi="仿宋_GB2312" w:eastAsia="仿宋_GB2312" w:cs="仿宋_GB2312"/>
          <w:kern w:val="0"/>
          <w:sz w:val="32"/>
          <w:szCs w:val="32"/>
        </w:rPr>
        <w:t>元，完成年初预算的143.94%，其中：</w:t>
      </w:r>
    </w:p>
    <w:p>
      <w:pPr>
        <w:numPr>
          <w:ilvl w:val="0"/>
          <w:numId w:val="3"/>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教育支出（类）普通教育（款）小学教育（项）年初预算为</w:t>
      </w:r>
      <w:r>
        <w:rPr>
          <w:rFonts w:ascii="仿宋_GB2312" w:hAnsi="仿宋_GB2312" w:eastAsia="仿宋_GB2312" w:cs="仿宋_GB2312"/>
          <w:kern w:val="0"/>
          <w:sz w:val="32"/>
          <w:szCs w:val="32"/>
        </w:rPr>
        <w:t>9470256.45</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11170231.58</w:t>
      </w:r>
      <w:r>
        <w:rPr>
          <w:rFonts w:hint="eastAsia" w:ascii="仿宋_GB2312" w:hAnsi="仿宋_GB2312" w:eastAsia="仿宋_GB2312" w:cs="仿宋_GB2312"/>
          <w:kern w:val="0"/>
          <w:sz w:val="32"/>
          <w:szCs w:val="32"/>
        </w:rPr>
        <w:t>元，完成年初预算的117.95%，决算数大于预算数的主要原因:一、 转正特岗教师及新</w:t>
      </w:r>
      <w:r>
        <w:rPr>
          <w:rFonts w:hint="eastAsia" w:ascii="仿宋_GB2312" w:hAnsi="宋体" w:eastAsia="仿宋_GB2312"/>
          <w:kern w:val="0"/>
          <w:sz w:val="32"/>
          <w:szCs w:val="32"/>
        </w:rPr>
        <w:t>调入人员工资未纳入预算</w:t>
      </w:r>
      <w:r>
        <w:rPr>
          <w:rFonts w:ascii="仿宋_GB2312" w:hAnsi="宋体" w:eastAsia="仿宋_GB2312"/>
          <w:kern w:val="0"/>
          <w:sz w:val="32"/>
          <w:szCs w:val="32"/>
        </w:rPr>
        <w:t>；二是</w:t>
      </w:r>
      <w:r>
        <w:rPr>
          <w:rFonts w:hint="eastAsia" w:ascii="仿宋_GB2312" w:hAnsi="仿宋_GB2312" w:eastAsia="仿宋_GB2312" w:cs="仿宋_GB2312"/>
          <w:kern w:val="0"/>
          <w:sz w:val="32"/>
          <w:szCs w:val="32"/>
        </w:rPr>
        <w:t>职工</w:t>
      </w:r>
      <w:r>
        <w:rPr>
          <w:rFonts w:hint="eastAsia" w:ascii="仿宋_GB2312" w:hAnsi="宋体" w:eastAsia="仿宋_GB2312"/>
          <w:kern w:val="0"/>
          <w:sz w:val="32"/>
          <w:szCs w:val="32"/>
        </w:rPr>
        <w:t>工资调资</w:t>
      </w:r>
      <w:r>
        <w:rPr>
          <w:rFonts w:hint="eastAsia" w:ascii="仿宋_GB2312" w:hAnsi="仿宋_GB2312" w:eastAsia="仿宋_GB2312" w:cs="仿宋_GB2312"/>
          <w:kern w:val="0"/>
          <w:sz w:val="32"/>
          <w:szCs w:val="32"/>
        </w:rPr>
        <w:t>。</w:t>
      </w:r>
    </w:p>
    <w:p>
      <w:pPr>
        <w:numPr>
          <w:ilvl w:val="0"/>
          <w:numId w:val="3"/>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社会保障和就业（类）行政事业单位离退休（款）机关事业单位养老保险缴费支出（项）年初预算为</w:t>
      </w:r>
      <w:r>
        <w:rPr>
          <w:rFonts w:ascii="仿宋_GB2312" w:hAnsi="仿宋_GB2312" w:eastAsia="仿宋_GB2312" w:cs="仿宋_GB2312"/>
          <w:kern w:val="0"/>
          <w:sz w:val="32"/>
          <w:szCs w:val="32"/>
        </w:rPr>
        <w:t>1309531.4</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1653659.2</w:t>
      </w:r>
      <w:r>
        <w:rPr>
          <w:rFonts w:hint="eastAsia" w:ascii="仿宋_GB2312" w:hAnsi="仿宋_GB2312" w:eastAsia="仿宋_GB2312" w:cs="仿宋_GB2312"/>
          <w:kern w:val="0"/>
          <w:sz w:val="32"/>
          <w:szCs w:val="32"/>
        </w:rPr>
        <w:t>元，完成年初预算的126.28%，决算数大于预算数的主要原因:一、转正特岗教师补缴养老保险；二、教师工资增长导致养老保险基数增加引起养老保险随之增长。</w:t>
      </w:r>
    </w:p>
    <w:p>
      <w:pPr>
        <w:numPr>
          <w:ilvl w:val="0"/>
          <w:numId w:val="3"/>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社会保障和就业（类）行政事业单位离退休（款）机关事业单位职业年金缴费支出（项）年初预算为</w:t>
      </w:r>
      <w:r>
        <w:rPr>
          <w:rFonts w:ascii="仿宋_GB2312" w:hAnsi="仿宋_GB2312" w:eastAsia="仿宋_GB2312" w:cs="仿宋_GB2312"/>
          <w:kern w:val="0"/>
          <w:sz w:val="32"/>
          <w:szCs w:val="32"/>
        </w:rPr>
        <w:t>523812.56</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172063.7</w:t>
      </w:r>
      <w:r>
        <w:rPr>
          <w:rFonts w:hint="eastAsia" w:ascii="仿宋_GB2312" w:hAnsi="仿宋_GB2312" w:eastAsia="仿宋_GB2312" w:cs="仿宋_GB2312"/>
          <w:kern w:val="0"/>
          <w:sz w:val="32"/>
          <w:szCs w:val="32"/>
        </w:rPr>
        <w:t>元，完成年初预算的32.84%，决算数小于预算数的主要原因:现职业年金只缴纳由职工个人部分，未缴纳单位部分。</w:t>
      </w:r>
    </w:p>
    <w:p>
      <w:pPr>
        <w:numPr>
          <w:ilvl w:val="0"/>
          <w:numId w:val="3"/>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医疗卫生与计划生育支出（类）行政事业单位医疗（款）事业单位医疗（项）年初预算为</w:t>
      </w:r>
      <w:r>
        <w:rPr>
          <w:rFonts w:ascii="仿宋_GB2312" w:hAnsi="仿宋_GB2312" w:eastAsia="仿宋_GB2312" w:cs="仿宋_GB2312"/>
          <w:kern w:val="0"/>
          <w:sz w:val="32"/>
          <w:szCs w:val="32"/>
        </w:rPr>
        <w:t>523812.56</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544523.56</w:t>
      </w:r>
      <w:r>
        <w:rPr>
          <w:rFonts w:hint="eastAsia" w:ascii="仿宋_GB2312" w:hAnsi="仿宋_GB2312" w:eastAsia="仿宋_GB2312" w:cs="仿宋_GB2312"/>
          <w:kern w:val="0"/>
          <w:sz w:val="32"/>
          <w:szCs w:val="32"/>
        </w:rPr>
        <w:t>元，完成年初预算的103.95%。决算数大于预算数的主要原因:一、转正特岗教师补缴医疗保险；二、教师工资增长导致医疗保险基数增加引起医疗保险随之增长。</w:t>
      </w:r>
    </w:p>
    <w:p>
      <w:pPr>
        <w:numPr>
          <w:ilvl w:val="0"/>
          <w:numId w:val="3"/>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住房保障（类）住房改革支出（款）住房公积金（项）年初预算为</w:t>
      </w:r>
      <w:r>
        <w:rPr>
          <w:rFonts w:ascii="仿宋_GB2312" w:hAnsi="仿宋_GB2312" w:eastAsia="仿宋_GB2312" w:cs="仿宋_GB2312"/>
          <w:kern w:val="0"/>
          <w:sz w:val="32"/>
          <w:szCs w:val="32"/>
        </w:rPr>
        <w:t>811100.16</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811100.16</w:t>
      </w:r>
      <w:r>
        <w:rPr>
          <w:rFonts w:hint="eastAsia" w:ascii="仿宋_GB2312" w:hAnsi="仿宋_GB2312" w:eastAsia="仿宋_GB2312" w:cs="仿宋_GB2312"/>
          <w:kern w:val="0"/>
          <w:sz w:val="32"/>
          <w:szCs w:val="32"/>
        </w:rPr>
        <w:t>元，完成年初预算的 100%。</w:t>
      </w:r>
    </w:p>
    <w:p>
      <w:pPr>
        <w:numPr>
          <w:ilvl w:val="0"/>
          <w:numId w:val="3"/>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社会保障和就业（类）行政事业单位离退休（款）其他行政事业单位离退休支出（项）年初预算为 0元，支出决算为</w:t>
      </w:r>
      <w:r>
        <w:rPr>
          <w:rFonts w:ascii="仿宋_GB2312" w:hAnsi="仿宋_GB2312" w:eastAsia="仿宋_GB2312" w:cs="仿宋_GB2312"/>
          <w:kern w:val="0"/>
          <w:sz w:val="32"/>
          <w:szCs w:val="32"/>
        </w:rPr>
        <w:t>733902</w:t>
      </w:r>
      <w:r>
        <w:rPr>
          <w:rFonts w:hint="eastAsia" w:ascii="仿宋_GB2312" w:hAnsi="仿宋_GB2312" w:eastAsia="仿宋_GB2312" w:cs="仿宋_GB2312"/>
          <w:kern w:val="0"/>
          <w:sz w:val="32"/>
          <w:szCs w:val="32"/>
        </w:rPr>
        <w:t>元，完成年初预算的100%。决算数大于预算数的主要原因:发放退休教师的民族团结奖及创城奖。</w:t>
      </w:r>
    </w:p>
    <w:p>
      <w:pPr>
        <w:numPr>
          <w:ilvl w:val="0"/>
          <w:numId w:val="3"/>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住房保障（类）住房改革支出（款）购房补贴（项）年初预算为 0元，支出决算为 </w:t>
      </w:r>
      <w:r>
        <w:rPr>
          <w:rFonts w:ascii="仿宋_GB2312" w:hAnsi="仿宋_GB2312" w:eastAsia="仿宋_GB2312" w:cs="仿宋_GB2312"/>
          <w:kern w:val="0"/>
          <w:sz w:val="32"/>
          <w:szCs w:val="32"/>
        </w:rPr>
        <w:t>304074.04</w:t>
      </w:r>
      <w:r>
        <w:rPr>
          <w:rFonts w:hint="eastAsia" w:ascii="仿宋_GB2312" w:hAnsi="仿宋_GB2312" w:eastAsia="仿宋_GB2312" w:cs="仿宋_GB2312"/>
          <w:kern w:val="0"/>
          <w:sz w:val="32"/>
          <w:szCs w:val="32"/>
        </w:rPr>
        <w:t>元，完成年初预算的 100%。决算数大于预算数的主要原因是:追加了在职教师的住房补贴。</w:t>
      </w:r>
    </w:p>
    <w:p>
      <w:pPr>
        <w:numPr>
          <w:ilvl w:val="0"/>
          <w:numId w:val="3"/>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社会保障和就业（类）其他社会保障和就业支出（款）其他社会保障和就业支出（项）年初预算为0元，支出决算为</w:t>
      </w:r>
      <w:r>
        <w:rPr>
          <w:rFonts w:hint="eastAsia" w:ascii="仿宋_GB2312" w:hAnsi="仿宋_GB2312" w:eastAsia="仿宋_GB2312" w:cs="仿宋_GB2312"/>
          <w:kern w:val="0"/>
          <w:sz w:val="32"/>
          <w:szCs w:val="32"/>
          <w:u w:val="none"/>
        </w:rPr>
        <w:t>111310.17</w:t>
      </w:r>
      <w:r>
        <w:rPr>
          <w:rFonts w:hint="eastAsia" w:ascii="仿宋_GB2312" w:hAnsi="仿宋_GB2312" w:eastAsia="仿宋_GB2312" w:cs="仿宋_GB2312"/>
          <w:kern w:val="0"/>
          <w:sz w:val="32"/>
          <w:szCs w:val="32"/>
        </w:rPr>
        <w:t>元，完成年初预算的0%；决算数大于预算数的主要原因是年初预算时没有做这项支出预算。</w:t>
      </w:r>
    </w:p>
    <w:p>
      <w:pPr>
        <w:spacing w:line="560" w:lineRule="exact"/>
        <w:outlineLvl w:val="1"/>
        <w:rPr>
          <w:rFonts w:ascii="黑体" w:hAnsi="黑体" w:eastAsia="黑体" w:cs="黑体"/>
          <w:kern w:val="0"/>
          <w:sz w:val="32"/>
          <w:szCs w:val="32"/>
        </w:rPr>
      </w:pPr>
      <w:r>
        <w:rPr>
          <w:rFonts w:hint="eastAsia" w:ascii="黑体" w:hAnsi="黑体" w:eastAsia="黑体" w:cs="黑体"/>
          <w:kern w:val="0"/>
          <w:sz w:val="32"/>
          <w:szCs w:val="32"/>
        </w:rPr>
        <w:t xml:space="preserve">   六、一般公共预算财政拨款基本支出决算情况说明（按经济分类填列到款级科目）</w:t>
      </w:r>
    </w:p>
    <w:p>
      <w:pPr>
        <w:pStyle w:val="12"/>
        <w:spacing w:line="560" w:lineRule="exact"/>
        <w:ind w:firstLine="640" w:firstLineChars="200"/>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rPr>
        <w:t>2018年度一般公共预算财政拨款基本支</w:t>
      </w:r>
      <w:r>
        <w:rPr>
          <w:rFonts w:ascii="仿宋_GB2312" w:hAnsi="仿宋_GB2312" w:eastAsia="仿宋_GB2312" w:cs="仿宋_GB2312"/>
          <w:sz w:val="32"/>
          <w:szCs w:val="32"/>
        </w:rPr>
        <w:t>15558419.41</w:t>
      </w:r>
      <w:r>
        <w:rPr>
          <w:rFonts w:hint="eastAsia" w:ascii="仿宋_GB2312" w:hAnsi="宋体" w:eastAsia="仿宋_GB2312" w:cs="Times New Roman"/>
          <w:color w:val="auto"/>
          <w:sz w:val="32"/>
          <w:szCs w:val="32"/>
        </w:rPr>
        <w:t>元，</w:t>
      </w:r>
      <w:r>
        <w:rPr>
          <w:rFonts w:hint="eastAsia" w:ascii="仿宋_GB2312" w:hAnsi="宋体" w:eastAsia="仿宋_GB2312"/>
          <w:sz w:val="32"/>
          <w:szCs w:val="32"/>
        </w:rPr>
        <w:t>其中：人员经费</w:t>
      </w:r>
      <w:r>
        <w:rPr>
          <w:rFonts w:ascii="仿宋_GB2312" w:hAnsi="仿宋_GB2312" w:eastAsia="仿宋_GB2312" w:cs="仿宋_GB2312"/>
          <w:sz w:val="32"/>
          <w:szCs w:val="32"/>
        </w:rPr>
        <w:t>13630915.83</w:t>
      </w:r>
      <w:r>
        <w:rPr>
          <w:rFonts w:hint="eastAsia" w:ascii="仿宋_GB2312" w:hAnsi="宋体" w:eastAsia="仿宋_GB2312"/>
          <w:sz w:val="32"/>
          <w:szCs w:val="32"/>
        </w:rPr>
        <w:t>元，公用经费</w:t>
      </w:r>
      <w:r>
        <w:rPr>
          <w:rFonts w:ascii="仿宋_GB2312" w:hAnsi="仿宋_GB2312" w:eastAsia="仿宋_GB2312" w:cs="仿宋_GB2312"/>
          <w:sz w:val="32"/>
          <w:szCs w:val="32"/>
        </w:rPr>
        <w:t>1927503.58</w:t>
      </w:r>
      <w:r>
        <w:rPr>
          <w:rFonts w:hint="eastAsia" w:ascii="仿宋_GB2312" w:hAnsi="宋体" w:eastAsia="仿宋_GB2312"/>
          <w:sz w:val="32"/>
          <w:szCs w:val="32"/>
        </w:rPr>
        <w:t>元。</w:t>
      </w:r>
      <w:r>
        <w:rPr>
          <w:rFonts w:hint="eastAsia" w:ascii="仿宋_GB2312" w:hAnsi="宋体" w:eastAsia="仿宋_GB2312" w:cs="Times New Roman"/>
          <w:color w:val="auto"/>
          <w:sz w:val="32"/>
          <w:szCs w:val="32"/>
        </w:rPr>
        <w:t xml:space="preserve">支出具体情况如下： </w:t>
      </w:r>
    </w:p>
    <w:p>
      <w:pPr>
        <w:pStyle w:val="12"/>
        <w:spacing w:line="560" w:lineRule="exact"/>
        <w:ind w:firstLine="640" w:firstLineChars="200"/>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rPr>
        <w:t>1.工资福利支出</w:t>
      </w:r>
      <w:r>
        <w:rPr>
          <w:rFonts w:hint="eastAsia" w:ascii="仿宋_GB2312" w:hAnsi="仿宋_GB2312" w:eastAsia="仿宋_GB2312" w:cs="仿宋_GB2312"/>
          <w:sz w:val="32"/>
          <w:szCs w:val="32"/>
        </w:rPr>
        <w:t>12827458.83</w:t>
      </w:r>
      <w:r>
        <w:rPr>
          <w:rFonts w:hint="eastAsia" w:ascii="仿宋_GB2312" w:hAnsi="宋体" w:eastAsia="仿宋_GB2312" w:cs="Times New Roman"/>
          <w:color w:val="auto"/>
          <w:sz w:val="32"/>
          <w:szCs w:val="32"/>
        </w:rPr>
        <w:t>元，较年初预算数增加3511434.78元，增长34.70%，主要原因：</w:t>
      </w:r>
      <w:r>
        <w:rPr>
          <w:rFonts w:hint="eastAsia" w:ascii="仿宋_GB2312" w:hAnsi="宋体" w:eastAsia="仿宋_GB2312"/>
          <w:color w:val="auto"/>
          <w:sz w:val="32"/>
          <w:szCs w:val="32"/>
        </w:rPr>
        <w:t>一是职工工资增长；其中：1.职工基础性工资增加 2.补发工资较多3.退休教师奖金等</w:t>
      </w:r>
      <w:r>
        <w:rPr>
          <w:rFonts w:hint="eastAsia" w:ascii="仿宋_GB2312" w:hAnsi="宋体" w:eastAsia="仿宋_GB2312" w:cs="Times New Roman"/>
          <w:color w:val="auto"/>
          <w:sz w:val="32"/>
          <w:szCs w:val="32"/>
        </w:rPr>
        <w:t>；较上年决算数增加3225871.41元，增长31%。</w:t>
      </w:r>
    </w:p>
    <w:p>
      <w:pPr>
        <w:pStyle w:val="12"/>
        <w:spacing w:line="56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2.商品和服务支出</w:t>
      </w:r>
      <w:r>
        <w:rPr>
          <w:rFonts w:hint="eastAsia" w:ascii="仿宋_GB2312" w:hAnsi="仿宋_GB2312" w:eastAsia="仿宋_GB2312" w:cs="仿宋_GB2312"/>
          <w:sz w:val="32"/>
          <w:szCs w:val="32"/>
        </w:rPr>
        <w:t>1230023.58</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较年初预算数增加</w:t>
      </w:r>
      <w:r>
        <w:rPr>
          <w:rFonts w:hint="eastAsia" w:ascii="仿宋_GB2312" w:hAnsi="仿宋_GB2312" w:eastAsia="仿宋_GB2312" w:cs="仿宋_GB2312"/>
          <w:sz w:val="32"/>
          <w:szCs w:val="32"/>
        </w:rPr>
        <w:t>766128.58</w:t>
      </w:r>
      <w:r>
        <w:rPr>
          <w:rFonts w:hint="eastAsia" w:ascii="仿宋_GB2312" w:hAnsi="宋体" w:eastAsia="仿宋_GB2312" w:cs="Times New Roman"/>
          <w:color w:val="auto"/>
          <w:sz w:val="32"/>
          <w:szCs w:val="32"/>
        </w:rPr>
        <w:t>元，增长165.15%，主要原因是中央及自治区义务教育补助经费未纳入年初预算</w:t>
      </w:r>
      <w:r>
        <w:rPr>
          <w:rFonts w:hint="eastAsia" w:ascii="仿宋_GB2312" w:hAnsi="宋体" w:eastAsia="仿宋_GB2312" w:cs="Times New Roman"/>
          <w:color w:val="000000" w:themeColor="text1"/>
          <w:sz w:val="32"/>
          <w:szCs w:val="32"/>
        </w:rPr>
        <w:t>；</w:t>
      </w:r>
      <w:r>
        <w:rPr>
          <w:rFonts w:hint="eastAsia" w:ascii="仿宋_GB2312" w:hAnsi="宋体" w:eastAsia="仿宋_GB2312" w:cs="Times New Roman"/>
          <w:color w:val="auto"/>
          <w:sz w:val="32"/>
          <w:szCs w:val="32"/>
        </w:rPr>
        <w:t>较上年决算数减268438.57元，下降17.91%。</w:t>
      </w:r>
    </w:p>
    <w:p>
      <w:pPr>
        <w:pStyle w:val="12"/>
        <w:spacing w:line="560" w:lineRule="exact"/>
        <w:ind w:firstLine="640" w:firstLineChars="200"/>
        <w:rPr>
          <w:rFonts w:ascii="仿宋_GB2312" w:hAnsi="宋体" w:eastAsia="仿宋_GB2312" w:cs="Times New Roman"/>
          <w:color w:val="000000" w:themeColor="text1"/>
          <w:sz w:val="32"/>
          <w:szCs w:val="32"/>
        </w:rPr>
      </w:pPr>
      <w:r>
        <w:rPr>
          <w:rFonts w:hint="eastAsia" w:ascii="仿宋_GB2312" w:eastAsia="仿宋_GB2312" w:cs="仿宋_GB2312"/>
          <w:sz w:val="32"/>
          <w:szCs w:val="32"/>
        </w:rPr>
        <w:t>3.对个人和家庭的补助803457元，</w:t>
      </w:r>
      <w:r>
        <w:rPr>
          <w:rFonts w:hint="eastAsia" w:ascii="仿宋_GB2312" w:hAnsi="宋体" w:eastAsia="仿宋_GB2312" w:cs="Times New Roman"/>
          <w:color w:val="auto"/>
          <w:sz w:val="32"/>
          <w:szCs w:val="32"/>
        </w:rPr>
        <w:t>较年初预算数增加218667.6元，增长37.39%，主要原因是追加</w:t>
      </w:r>
      <w:r>
        <w:rPr>
          <w:rFonts w:hint="eastAsia" w:ascii="仿宋_GB2312" w:hAnsi="宋体" w:eastAsia="仿宋_GB2312"/>
          <w:color w:val="auto"/>
          <w:sz w:val="32"/>
          <w:szCs w:val="32"/>
        </w:rPr>
        <w:t>退休</w:t>
      </w:r>
      <w:r>
        <w:rPr>
          <w:rFonts w:hint="eastAsia" w:ascii="仿宋_GB2312" w:hAnsi="宋体" w:eastAsia="仿宋_GB2312"/>
          <w:color w:val="000000" w:themeColor="text1"/>
          <w:sz w:val="32"/>
          <w:szCs w:val="32"/>
        </w:rPr>
        <w:t>人员的</w:t>
      </w:r>
      <w:r>
        <w:rPr>
          <w:rFonts w:hint="eastAsia" w:ascii="仿宋_GB2312" w:eastAsia="仿宋_GB2312"/>
          <w:color w:val="000000" w:themeColor="text1"/>
          <w:sz w:val="32"/>
          <w:szCs w:val="32"/>
        </w:rPr>
        <w:t>民族团结奖、城市文明等奖金、报销在职研究生学费</w:t>
      </w:r>
      <w:r>
        <w:rPr>
          <w:rFonts w:hint="eastAsia" w:ascii="仿宋_GB2312" w:hAnsi="宋体" w:eastAsia="仿宋_GB2312" w:cs="Times New Roman"/>
          <w:color w:val="000000" w:themeColor="text1"/>
          <w:sz w:val="32"/>
          <w:szCs w:val="32"/>
        </w:rPr>
        <w:t>；较上年决算数减少</w:t>
      </w:r>
      <w:r>
        <w:rPr>
          <w:rFonts w:hint="eastAsia" w:ascii="仿宋_GB2312" w:hAnsi="宋体" w:eastAsia="仿宋_GB2312" w:cs="Times New Roman"/>
          <w:color w:val="auto"/>
          <w:sz w:val="32"/>
          <w:szCs w:val="32"/>
        </w:rPr>
        <w:t>1603317.36</w:t>
      </w:r>
      <w:r>
        <w:rPr>
          <w:rFonts w:hint="eastAsia" w:ascii="仿宋_GB2312" w:hAnsi="宋体" w:eastAsia="仿宋_GB2312" w:cs="Times New Roman"/>
          <w:color w:val="000000" w:themeColor="text1"/>
          <w:sz w:val="32"/>
          <w:szCs w:val="32"/>
        </w:rPr>
        <w:t>元，下降</w:t>
      </w:r>
      <w:r>
        <w:rPr>
          <w:rFonts w:hint="eastAsia" w:ascii="仿宋_GB2312" w:hAnsi="宋体" w:eastAsia="仿宋_GB2312" w:cs="Times New Roman"/>
          <w:color w:val="auto"/>
          <w:sz w:val="32"/>
          <w:szCs w:val="32"/>
        </w:rPr>
        <w:t>66.62</w:t>
      </w:r>
      <w:r>
        <w:rPr>
          <w:rFonts w:hint="eastAsia" w:ascii="仿宋_GB2312" w:hAnsi="宋体" w:eastAsia="仿宋_GB2312" w:cs="Times New Roman"/>
          <w:color w:val="000000" w:themeColor="text1"/>
          <w:sz w:val="32"/>
          <w:szCs w:val="32"/>
        </w:rPr>
        <w:t>%。</w:t>
      </w:r>
    </w:p>
    <w:p>
      <w:pPr>
        <w:pStyle w:val="12"/>
        <w:spacing w:line="560" w:lineRule="exact"/>
        <w:ind w:firstLine="640" w:firstLineChars="200"/>
        <w:rPr>
          <w:rFonts w:ascii="仿宋_GB2312" w:hAnsi="宋体" w:eastAsia="仿宋_GB2312" w:cs="Times New Roman"/>
          <w:color w:val="000000" w:themeColor="text1"/>
          <w:sz w:val="32"/>
          <w:szCs w:val="32"/>
        </w:rPr>
      </w:pPr>
      <w:r>
        <w:rPr>
          <w:rFonts w:hint="eastAsia" w:ascii="仿宋_GB2312" w:eastAsia="仿宋_GB2312" w:cs="仿宋_GB2312"/>
          <w:color w:val="000000" w:themeColor="text1"/>
          <w:sz w:val="32"/>
          <w:szCs w:val="32"/>
        </w:rPr>
        <w:t>4.其他资本性支出697480元，</w:t>
      </w:r>
      <w:r>
        <w:rPr>
          <w:rFonts w:hint="eastAsia" w:ascii="仿宋_GB2312" w:hAnsi="宋体" w:eastAsia="仿宋_GB2312" w:cs="Times New Roman"/>
          <w:color w:val="000000" w:themeColor="text1"/>
          <w:sz w:val="32"/>
          <w:szCs w:val="32"/>
        </w:rPr>
        <w:t>较年初预算数增加</w:t>
      </w:r>
      <w:r>
        <w:rPr>
          <w:rFonts w:ascii="仿宋_GB2312" w:hAnsi="宋体" w:eastAsia="仿宋_GB2312" w:cs="Times New Roman"/>
          <w:color w:val="000000" w:themeColor="text1"/>
          <w:sz w:val="32"/>
          <w:szCs w:val="32"/>
        </w:rPr>
        <w:t>697480</w:t>
      </w:r>
      <w:r>
        <w:rPr>
          <w:rFonts w:hint="eastAsia" w:ascii="仿宋_GB2312" w:hAnsi="宋体" w:eastAsia="仿宋_GB2312" w:cs="Times New Roman"/>
          <w:color w:val="000000" w:themeColor="text1"/>
          <w:sz w:val="32"/>
          <w:szCs w:val="32"/>
        </w:rPr>
        <w:t>元，增长</w:t>
      </w:r>
      <w:r>
        <w:rPr>
          <w:rFonts w:hint="eastAsia" w:ascii="仿宋_GB2312" w:hAnsi="仿宋_GB2312" w:eastAsia="仿宋_GB2312" w:cs="仿宋_GB2312"/>
          <w:color w:val="000000" w:themeColor="text1"/>
          <w:sz w:val="32"/>
          <w:szCs w:val="32"/>
        </w:rPr>
        <w:t xml:space="preserve">100 </w:t>
      </w:r>
      <w:r>
        <w:rPr>
          <w:rFonts w:hint="eastAsia" w:ascii="仿宋_GB2312" w:hAnsi="宋体" w:eastAsia="仿宋_GB2312" w:cs="Times New Roman"/>
          <w:color w:val="000000" w:themeColor="text1"/>
          <w:sz w:val="32"/>
          <w:szCs w:val="32"/>
        </w:rPr>
        <w:t>%，主要原因是中央及自治区义务教育补助经费未纳入年初预算；较上年决算数增加</w:t>
      </w:r>
      <w:r>
        <w:rPr>
          <w:rFonts w:hint="eastAsia" w:ascii="仿宋_GB2312" w:hAnsi="宋体" w:eastAsia="仿宋_GB2312" w:cs="Times New Roman"/>
          <w:color w:val="auto"/>
          <w:sz w:val="32"/>
          <w:szCs w:val="32"/>
        </w:rPr>
        <w:t>567314</w:t>
      </w:r>
      <w:r>
        <w:rPr>
          <w:rFonts w:hint="eastAsia" w:ascii="仿宋_GB2312" w:hAnsi="宋体" w:eastAsia="仿宋_GB2312" w:cs="Times New Roman"/>
          <w:color w:val="000000" w:themeColor="text1"/>
          <w:sz w:val="32"/>
          <w:szCs w:val="32"/>
        </w:rPr>
        <w:t>元，增长</w:t>
      </w:r>
      <w:r>
        <w:rPr>
          <w:rFonts w:hint="eastAsia" w:ascii="仿宋_GB2312" w:hAnsi="仿宋_GB2312" w:eastAsia="仿宋_GB2312" w:cs="仿宋_GB2312"/>
          <w:color w:val="000000" w:themeColor="text1"/>
          <w:sz w:val="32"/>
          <w:szCs w:val="32"/>
        </w:rPr>
        <w:t>435.84</w:t>
      </w:r>
      <w:r>
        <w:rPr>
          <w:rFonts w:hint="eastAsia" w:ascii="仿宋_GB2312" w:hAnsi="宋体" w:eastAsia="仿宋_GB2312" w:cs="Times New Roman"/>
          <w:color w:val="000000" w:themeColor="text1"/>
          <w:sz w:val="32"/>
          <w:szCs w:val="32"/>
        </w:rPr>
        <w:t>%。主要原因是学校翻建购置大部分专用设备和通用设备。</w:t>
      </w:r>
    </w:p>
    <w:p>
      <w:pPr>
        <w:spacing w:line="56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七、一般公共预算财政拨款“三公”经费支出决算情况说明</w:t>
      </w:r>
    </w:p>
    <w:p>
      <w:pPr>
        <w:autoSpaceDE w:val="0"/>
        <w:autoSpaceDN w:val="0"/>
        <w:adjustRightInd w:val="0"/>
        <w:spacing w:line="56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（一）“三公”经费一般公共预算财政拨款支出决算总体情况说明。</w:t>
      </w:r>
    </w:p>
    <w:p>
      <w:pPr>
        <w:autoSpaceDE w:val="0"/>
        <w:autoSpaceDN w:val="0"/>
        <w:adjustRightIn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2018年度“三公”经费一般公共预算财政拨款支出年初预算为 0  元，支出决算为 0  元，完成年初预算的  0 %。与上年相比，减少（增加） 0  元，下降（增长）0%，决算数小于（大于）年初预算数的主要原因是：</w:t>
      </w:r>
      <w:r>
        <w:rPr>
          <w:rFonts w:hint="eastAsia" w:ascii="仿宋_GB2312"/>
          <w:sz w:val="30"/>
          <w:szCs w:val="30"/>
        </w:rPr>
        <w:t>无</w:t>
      </w:r>
      <w:r>
        <w:rPr>
          <w:rFonts w:hint="eastAsia" w:ascii="仿宋_GB2312" w:hAnsi="仿宋_GB2312" w:eastAsia="仿宋_GB2312" w:cs="仿宋_GB2312"/>
          <w:kern w:val="0"/>
          <w:sz w:val="32"/>
          <w:szCs w:val="32"/>
        </w:rPr>
        <w:t>。</w:t>
      </w:r>
    </w:p>
    <w:p>
      <w:pPr>
        <w:pStyle w:val="12"/>
        <w:numPr>
          <w:ilvl w:val="0"/>
          <w:numId w:val="4"/>
        </w:num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“三公”经费一般公共预算财政拨款支出决算具体情况说明。</w:t>
      </w:r>
    </w:p>
    <w:p>
      <w:pPr>
        <w:pStyle w:val="12"/>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2018年度“三公”经费一般公共预算财政拨款支出决算中，因公出国（境）费支出占</w:t>
      </w:r>
      <w:r>
        <w:rPr>
          <w:rFonts w:hint="eastAsia" w:ascii="仿宋_GB2312" w:hAnsi="仿宋_GB2312" w:eastAsia="仿宋_GB2312" w:cs="仿宋_GB2312"/>
          <w:sz w:val="32"/>
          <w:szCs w:val="32"/>
        </w:rPr>
        <w:t xml:space="preserve"> 0  </w:t>
      </w:r>
      <w:r>
        <w:rPr>
          <w:rFonts w:hint="eastAsia" w:ascii="仿宋_GB2312" w:hAnsi="仿宋_GB2312" w:eastAsia="仿宋_GB2312" w:cs="仿宋_GB2312"/>
          <w:color w:val="auto"/>
          <w:sz w:val="32"/>
          <w:szCs w:val="32"/>
        </w:rPr>
        <w:t>%；公务用车购置及运行费支出占</w:t>
      </w:r>
      <w:r>
        <w:rPr>
          <w:rFonts w:hint="eastAsia" w:ascii="仿宋_GB2312" w:hAnsi="仿宋_GB2312" w:eastAsia="仿宋_GB2312" w:cs="仿宋_GB2312"/>
          <w:sz w:val="32"/>
          <w:szCs w:val="32"/>
        </w:rPr>
        <w:t xml:space="preserve"> 0  </w:t>
      </w:r>
      <w:r>
        <w:rPr>
          <w:rFonts w:hint="eastAsia" w:ascii="仿宋_GB2312" w:hAnsi="仿宋_GB2312" w:eastAsia="仿宋_GB2312" w:cs="仿宋_GB2312"/>
          <w:color w:val="auto"/>
          <w:sz w:val="32"/>
          <w:szCs w:val="32"/>
        </w:rPr>
        <w:t>%；公务接待费支出占</w:t>
      </w:r>
      <w:r>
        <w:rPr>
          <w:rFonts w:hint="eastAsia" w:ascii="仿宋_GB2312" w:hAnsi="仿宋_GB2312" w:eastAsia="仿宋_GB2312" w:cs="仿宋_GB2312"/>
          <w:sz w:val="32"/>
          <w:szCs w:val="32"/>
        </w:rPr>
        <w:t xml:space="preserve"> 0  </w:t>
      </w:r>
      <w:r>
        <w:rPr>
          <w:rFonts w:hint="eastAsia" w:ascii="仿宋_GB2312" w:hAnsi="仿宋_GB2312" w:eastAsia="仿宋_GB2312" w:cs="仿宋_GB2312"/>
          <w:color w:val="auto"/>
          <w:sz w:val="32"/>
          <w:szCs w:val="32"/>
        </w:rPr>
        <w:t>%。具体情况如下：</w:t>
      </w:r>
    </w:p>
    <w:p>
      <w:pPr>
        <w:pStyle w:val="12"/>
        <w:spacing w:line="560" w:lineRule="exact"/>
        <w:ind w:firstLine="630" w:firstLineChars="196"/>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Cs/>
          <w:color w:val="auto"/>
          <w:sz w:val="32"/>
          <w:szCs w:val="32"/>
        </w:rPr>
        <w:t>年初预算为</w:t>
      </w:r>
      <w:r>
        <w:rPr>
          <w:rFonts w:hint="eastAsia" w:ascii="仿宋_GB2312" w:hAnsi="仿宋_GB2312" w:eastAsia="仿宋_GB2312" w:cs="仿宋_GB2312"/>
          <w:sz w:val="32"/>
          <w:szCs w:val="32"/>
        </w:rPr>
        <w:t xml:space="preserve"> 0 元，支出决算为元，完成年初预算的  0 %；比上年减少（增加）0元，下降（增长） 0  %。决算数小于（大于）年初预算数的主要原因是</w:t>
      </w:r>
      <w:r>
        <w:rPr>
          <w:rFonts w:hint="eastAsia" w:ascii="仿宋_GB2312"/>
          <w:sz w:val="30"/>
          <w:szCs w:val="30"/>
        </w:rPr>
        <w:t>无</w:t>
      </w:r>
      <w:r>
        <w:rPr>
          <w:rFonts w:hint="eastAsia" w:ascii="仿宋_GB2312" w:hAnsi="仿宋_GB2312" w:eastAsia="仿宋_GB2312" w:cs="仿宋_GB2312"/>
          <w:sz w:val="32"/>
          <w:szCs w:val="32"/>
        </w:rPr>
        <w:t>。全年</w:t>
      </w:r>
      <w:r>
        <w:rPr>
          <w:rFonts w:hint="eastAsia" w:ascii="仿宋_GB2312" w:hAnsi="仿宋_GB2312" w:eastAsia="仿宋_GB2312" w:cs="仿宋_GB2312"/>
          <w:color w:val="auto"/>
          <w:sz w:val="32"/>
          <w:szCs w:val="32"/>
        </w:rPr>
        <w:t>因公出国（境）团组数</w:t>
      </w:r>
      <w:r>
        <w:rPr>
          <w:rFonts w:hint="eastAsia" w:ascii="仿宋_GB2312" w:hAnsi="仿宋_GB2312" w:eastAsia="仿宋_GB2312" w:cs="仿宋_GB2312"/>
          <w:sz w:val="32"/>
          <w:szCs w:val="32"/>
        </w:rPr>
        <w:t xml:space="preserve"> 0  </w:t>
      </w:r>
      <w:r>
        <w:rPr>
          <w:rFonts w:hint="eastAsia" w:ascii="仿宋_GB2312" w:hAnsi="仿宋_GB2312" w:eastAsia="仿宋_GB2312" w:cs="仿宋_GB2312"/>
          <w:color w:val="auto"/>
          <w:sz w:val="32"/>
          <w:szCs w:val="32"/>
        </w:rPr>
        <w:t>个，因公出国（境）人次数</w:t>
      </w:r>
      <w:r>
        <w:rPr>
          <w:rFonts w:hint="eastAsia" w:ascii="仿宋_GB2312" w:hAnsi="仿宋_GB2312" w:eastAsia="仿宋_GB2312" w:cs="仿宋_GB2312"/>
          <w:sz w:val="32"/>
          <w:szCs w:val="32"/>
        </w:rPr>
        <w:t xml:space="preserve">  0 </w:t>
      </w:r>
      <w:r>
        <w:rPr>
          <w:rFonts w:hint="eastAsia" w:ascii="仿宋_GB2312" w:hAnsi="仿宋_GB2312" w:eastAsia="仿宋_GB2312" w:cs="仿宋_GB2312"/>
          <w:color w:val="auto"/>
          <w:sz w:val="32"/>
          <w:szCs w:val="32"/>
        </w:rPr>
        <w:t>人。开支内容包括：</w:t>
      </w:r>
      <w:r>
        <w:rPr>
          <w:rFonts w:hint="eastAsia" w:ascii="仿宋_GB2312"/>
          <w:sz w:val="30"/>
          <w:szCs w:val="30"/>
        </w:rPr>
        <w:t>无</w:t>
      </w:r>
      <w:r>
        <w:rPr>
          <w:rFonts w:hint="eastAsia" w:ascii="仿宋_GB2312" w:hAnsi="仿宋_GB2312" w:eastAsia="仿宋_GB2312" w:cs="仿宋_GB2312"/>
          <w:color w:val="auto"/>
          <w:sz w:val="32"/>
          <w:szCs w:val="32"/>
        </w:rPr>
        <w:t xml:space="preserve">。 </w:t>
      </w:r>
    </w:p>
    <w:p>
      <w:pPr>
        <w:autoSpaceDE w:val="0"/>
        <w:autoSpaceDN w:val="0"/>
        <w:adjustRightInd w:val="0"/>
        <w:spacing w:line="56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bCs/>
          <w:sz w:val="32"/>
          <w:szCs w:val="32"/>
        </w:rPr>
        <w:t>年初预算为</w:t>
      </w:r>
      <w:r>
        <w:rPr>
          <w:rFonts w:hint="eastAsia" w:ascii="仿宋_GB2312" w:hAnsi="仿宋_GB2312" w:eastAsia="仿宋_GB2312" w:cs="仿宋_GB2312"/>
          <w:bCs/>
          <w:kern w:val="0"/>
          <w:sz w:val="32"/>
          <w:szCs w:val="32"/>
        </w:rPr>
        <w:t xml:space="preserve"> 0  </w:t>
      </w:r>
      <w:r>
        <w:rPr>
          <w:rFonts w:hint="eastAsia" w:ascii="仿宋_GB2312" w:hAnsi="仿宋_GB2312" w:eastAsia="仿宋_GB2312" w:cs="仿宋_GB2312"/>
          <w:kern w:val="0"/>
          <w:sz w:val="32"/>
          <w:szCs w:val="32"/>
        </w:rPr>
        <w:t>元，支出决算为  0 元，完成年初预算的 0  %；比上年减少（增加）  0 元，下降（增长）0%。决算数小于（大于）年初预算数的主要原因是</w:t>
      </w:r>
      <w:r>
        <w:rPr>
          <w:rFonts w:hint="eastAsia" w:ascii="仿宋_GB2312"/>
          <w:sz w:val="30"/>
          <w:szCs w:val="30"/>
        </w:rPr>
        <w:t>无</w:t>
      </w:r>
      <w:r>
        <w:rPr>
          <w:rFonts w:hint="eastAsia" w:ascii="仿宋_GB2312" w:hAnsi="仿宋_GB2312" w:eastAsia="仿宋_GB2312" w:cs="仿宋_GB2312"/>
          <w:kern w:val="0"/>
          <w:sz w:val="32"/>
          <w:szCs w:val="32"/>
        </w:rPr>
        <w:t>。其中：公务用车购置费支出为元，公务用车运行维护费支出 0  元，主要用于</w:t>
      </w:r>
      <w:r>
        <w:rPr>
          <w:rFonts w:hint="eastAsia" w:ascii="仿宋_GB2312"/>
          <w:sz w:val="30"/>
          <w:szCs w:val="30"/>
        </w:rPr>
        <w:t>无</w:t>
      </w:r>
      <w:r>
        <w:rPr>
          <w:rFonts w:hint="eastAsia" w:ascii="仿宋_GB2312" w:hAnsi="仿宋_GB2312" w:eastAsia="仿宋_GB2312" w:cs="仿宋_GB2312"/>
          <w:kern w:val="0"/>
          <w:sz w:val="32"/>
          <w:szCs w:val="32"/>
        </w:rPr>
        <w:t xml:space="preserve">。一般公共预算财政拨款开支的公务用车购置数  0 辆，公务用车保有量为 0辆。 </w:t>
      </w:r>
    </w:p>
    <w:p>
      <w:pPr>
        <w:autoSpaceDE w:val="0"/>
        <w:autoSpaceDN w:val="0"/>
        <w:adjustRightInd w:val="0"/>
        <w:spacing w:line="56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Cs/>
          <w:sz w:val="32"/>
          <w:szCs w:val="32"/>
        </w:rPr>
        <w:t>年初预算为</w:t>
      </w:r>
      <w:r>
        <w:rPr>
          <w:rFonts w:hint="eastAsia" w:ascii="仿宋_GB2312" w:hAnsi="仿宋_GB2312" w:eastAsia="仿宋_GB2312" w:cs="仿宋_GB2312"/>
          <w:kern w:val="0"/>
          <w:sz w:val="32"/>
          <w:szCs w:val="32"/>
        </w:rPr>
        <w:t>0元，支出决算为 0  元，完成年初预算的  0 %；比上年减少（增加） 0  元，下降（增长）0%。决算数小于（大于）年初预算数的主要原因是无。其中： 国内接待费支出 0  元，主要用于无。国（境）外接待费支出  0 元，主要用于无。全年国内公务接待批次  0 个，国内公务接待人次   0人，国（境）外公务接待批次  0 个，国（境）外公务接待人次  0 人。</w:t>
      </w:r>
    </w:p>
    <w:p>
      <w:pPr>
        <w:autoSpaceDE w:val="0"/>
        <w:autoSpaceDN w:val="0"/>
        <w:adjustRightInd w:val="0"/>
        <w:spacing w:line="560" w:lineRule="exact"/>
        <w:ind w:firstLine="627"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本单位本年度未发生</w:t>
      </w:r>
      <w:r>
        <w:rPr>
          <w:rFonts w:hint="eastAsia" w:ascii="仿宋_GB2312" w:hAnsi="仿宋_GB2312" w:eastAsia="仿宋_GB2312" w:cs="仿宋_GB2312"/>
          <w:b/>
          <w:sz w:val="32"/>
          <w:szCs w:val="32"/>
        </w:rPr>
        <w:t>一</w:t>
      </w:r>
      <w:r>
        <w:rPr>
          <w:rFonts w:hint="eastAsia" w:ascii="仿宋_GB2312" w:hAnsi="仿宋_GB2312" w:eastAsia="仿宋_GB2312" w:cs="仿宋_GB2312"/>
          <w:kern w:val="0"/>
          <w:sz w:val="32"/>
          <w:szCs w:val="32"/>
        </w:rPr>
        <w:t>般公共预算财政拨款“三公经费”支出。</w:t>
      </w:r>
    </w:p>
    <w:p>
      <w:pPr>
        <w:spacing w:line="560" w:lineRule="exact"/>
        <w:outlineLvl w:val="1"/>
        <w:rPr>
          <w:rFonts w:ascii="黑体" w:hAnsi="黑体" w:eastAsia="黑体" w:cs="黑体"/>
          <w:kern w:val="0"/>
          <w:sz w:val="32"/>
          <w:szCs w:val="32"/>
        </w:rPr>
      </w:pPr>
      <w:r>
        <w:rPr>
          <w:rFonts w:hint="eastAsia" w:ascii="黑体" w:hAnsi="黑体" w:eastAsia="黑体" w:cs="黑体"/>
          <w:kern w:val="0"/>
          <w:sz w:val="32"/>
          <w:szCs w:val="32"/>
        </w:rPr>
        <w:t xml:space="preserve">    八、政府性基金预算财政拨款收入支出决算情况说明</w:t>
      </w:r>
    </w:p>
    <w:p>
      <w:pPr>
        <w:pStyle w:val="12"/>
        <w:spacing w:line="56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8年度政府性基金预算财政拨款年初结转和结余</w:t>
      </w:r>
      <w:r>
        <w:rPr>
          <w:rFonts w:hint="eastAsia" w:ascii="仿宋_GB2312" w:hAnsi="仿宋_GB2312" w:eastAsia="仿宋_GB2312" w:cs="仿宋_GB2312"/>
          <w:sz w:val="32"/>
          <w:szCs w:val="32"/>
        </w:rPr>
        <w:t xml:space="preserve"> 0 </w:t>
      </w:r>
      <w:r>
        <w:rPr>
          <w:rFonts w:hint="eastAsia" w:ascii="仿宋_GB2312" w:hAnsi="宋体" w:eastAsia="仿宋_GB2312" w:cs="Times New Roman"/>
          <w:color w:val="auto"/>
          <w:sz w:val="32"/>
          <w:szCs w:val="32"/>
        </w:rPr>
        <w:t>元，本年收入</w:t>
      </w:r>
      <w:r>
        <w:rPr>
          <w:rFonts w:hint="eastAsia" w:ascii="仿宋_GB2312" w:hAnsi="仿宋_GB2312" w:eastAsia="仿宋_GB2312" w:cs="仿宋_GB2312"/>
          <w:sz w:val="32"/>
          <w:szCs w:val="32"/>
        </w:rPr>
        <w:t xml:space="preserve">  0 </w:t>
      </w:r>
      <w:r>
        <w:rPr>
          <w:rFonts w:hint="eastAsia" w:ascii="仿宋_GB2312" w:hAnsi="宋体" w:eastAsia="仿宋_GB2312" w:cs="Times New Roman"/>
          <w:color w:val="auto"/>
          <w:sz w:val="32"/>
          <w:szCs w:val="32"/>
        </w:rPr>
        <w:t>元，本年支出</w:t>
      </w:r>
      <w:r>
        <w:rPr>
          <w:rFonts w:hint="eastAsia" w:ascii="仿宋_GB2312" w:hAnsi="仿宋_GB2312" w:eastAsia="仿宋_GB2312" w:cs="仿宋_GB2312"/>
          <w:sz w:val="32"/>
          <w:szCs w:val="32"/>
        </w:rPr>
        <w:t xml:space="preserve"> 0 </w:t>
      </w:r>
      <w:r>
        <w:rPr>
          <w:rFonts w:hint="eastAsia" w:ascii="仿宋_GB2312" w:hAnsi="宋体" w:eastAsia="仿宋_GB2312" w:cs="Times New Roman"/>
          <w:color w:val="auto"/>
          <w:sz w:val="32"/>
          <w:szCs w:val="32"/>
        </w:rPr>
        <w:t>元，年末结转和结余</w:t>
      </w:r>
      <w:r>
        <w:rPr>
          <w:rFonts w:hint="eastAsia" w:ascii="仿宋_GB2312" w:hAnsi="仿宋_GB2312" w:eastAsia="仿宋_GB2312" w:cs="仿宋_GB2312"/>
          <w:sz w:val="32"/>
          <w:szCs w:val="32"/>
        </w:rPr>
        <w:t xml:space="preserve"> 0 </w:t>
      </w:r>
      <w:r>
        <w:rPr>
          <w:rFonts w:hint="eastAsia" w:ascii="仿宋_GB2312" w:hAnsi="宋体" w:eastAsia="仿宋_GB2312" w:cs="Times New Roman"/>
          <w:color w:val="auto"/>
          <w:sz w:val="32"/>
          <w:szCs w:val="32"/>
        </w:rPr>
        <w:t>元，较上年决算数增加（减少）</w:t>
      </w:r>
      <w:r>
        <w:rPr>
          <w:rFonts w:hint="eastAsia" w:ascii="仿宋_GB2312" w:hAnsi="仿宋_GB2312" w:eastAsia="仿宋_GB2312" w:cs="仿宋_GB2312"/>
          <w:sz w:val="32"/>
          <w:szCs w:val="32"/>
        </w:rPr>
        <w:t xml:space="preserve">  0</w:t>
      </w:r>
      <w:r>
        <w:rPr>
          <w:rFonts w:hint="eastAsia" w:ascii="仿宋_GB2312" w:hAnsi="宋体" w:eastAsia="仿宋_GB2312" w:cs="Times New Roman"/>
          <w:color w:val="auto"/>
          <w:sz w:val="32"/>
          <w:szCs w:val="32"/>
        </w:rPr>
        <w:t>元，增长（下降）</w:t>
      </w:r>
      <w:r>
        <w:rPr>
          <w:rFonts w:hint="eastAsia" w:ascii="仿宋_GB2312" w:hAnsi="仿宋_GB2312" w:eastAsia="仿宋_GB2312" w:cs="仿宋_GB2312"/>
          <w:sz w:val="32"/>
          <w:szCs w:val="32"/>
        </w:rPr>
        <w:t xml:space="preserve"> 0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仿宋_GB2312" w:eastAsia="仿宋_GB2312" w:cs="仿宋_GB2312"/>
          <w:sz w:val="32"/>
          <w:szCs w:val="32"/>
        </w:rPr>
        <w:t>无</w:t>
      </w:r>
      <w:r>
        <w:rPr>
          <w:rFonts w:hint="eastAsia" w:ascii="仿宋_GB2312" w:hAnsi="宋体" w:eastAsia="仿宋_GB2312" w:cs="Times New Roman"/>
          <w:color w:val="auto"/>
          <w:sz w:val="32"/>
          <w:szCs w:val="32"/>
        </w:rPr>
        <w:t>。支出具体情况如下（按支出功能分类科目说明）：</w:t>
      </w:r>
      <w:r>
        <w:rPr>
          <w:rFonts w:hint="eastAsia" w:ascii="仿宋_GB2312" w:hAnsi="仿宋_GB2312" w:eastAsia="仿宋_GB2312" w:cs="仿宋_GB2312"/>
          <w:sz w:val="32"/>
          <w:szCs w:val="32"/>
        </w:rPr>
        <w:t>无</w:t>
      </w:r>
      <w:r>
        <w:rPr>
          <w:rFonts w:hint="eastAsia" w:ascii="仿宋_GB2312" w:hAnsi="宋体" w:eastAsia="仿宋_GB2312" w:cs="Times New Roman"/>
          <w:color w:val="auto"/>
          <w:sz w:val="32"/>
          <w:szCs w:val="32"/>
        </w:rPr>
        <w:t>。</w:t>
      </w:r>
    </w:p>
    <w:p>
      <w:pPr>
        <w:autoSpaceDE w:val="0"/>
        <w:autoSpaceDN w:val="0"/>
        <w:adjustRightIn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本单位本年度未发生</w:t>
      </w:r>
      <w:r>
        <w:rPr>
          <w:rFonts w:hint="eastAsia" w:ascii="仿宋_GB2312" w:hAnsi="黑体" w:eastAsia="仿宋_GB2312" w:cs="黑体"/>
          <w:kern w:val="0"/>
          <w:sz w:val="32"/>
          <w:szCs w:val="32"/>
        </w:rPr>
        <w:t>政府性基金预算财政拨款收入支出。</w:t>
      </w:r>
    </w:p>
    <w:p>
      <w:pPr>
        <w:spacing w:line="560" w:lineRule="exact"/>
        <w:outlineLvl w:val="1"/>
        <w:rPr>
          <w:rFonts w:ascii="黑体" w:hAnsi="黑体" w:eastAsia="黑体" w:cs="黑体"/>
          <w:kern w:val="0"/>
          <w:sz w:val="32"/>
          <w:szCs w:val="32"/>
        </w:rPr>
      </w:pPr>
      <w:r>
        <w:rPr>
          <w:rFonts w:hint="eastAsia" w:ascii="黑体" w:hAnsi="黑体" w:eastAsia="黑体" w:cs="黑体"/>
          <w:kern w:val="0"/>
          <w:sz w:val="32"/>
          <w:szCs w:val="32"/>
        </w:rPr>
        <w:t xml:space="preserve">    九、其他重要事项的情况说明</w:t>
      </w:r>
    </w:p>
    <w:p>
      <w:pPr>
        <w:numPr>
          <w:ilvl w:val="0"/>
          <w:numId w:val="5"/>
        </w:numPr>
        <w:spacing w:line="56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机关运行经费支出情况说明（此数据应与部门决算中行政单位和参照公务员法管理事业单位的一般公共预算财政拨款基本支出中公用经费之和进行核对）</w:t>
      </w:r>
    </w:p>
    <w:p>
      <w:pPr>
        <w:autoSpaceDE w:val="0"/>
        <w:autoSpaceDN w:val="0"/>
        <w:adjustRightIn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2018年度本部门机关运行经费年初预算为 0  元，支出决算为 0 元，完成年初预算的 0 %；比上年增加（减少）元，增长（下降） 0 %。决算数大于（小于）预算数的主要原因无。</w:t>
      </w:r>
    </w:p>
    <w:p>
      <w:pPr>
        <w:spacing w:line="56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本单位</w:t>
      </w:r>
      <w:r>
        <w:rPr>
          <w:rFonts w:hint="eastAsia" w:ascii="仿宋_GB2312" w:hAnsi="仿宋_GB2312" w:eastAsia="仿宋_GB2312" w:cs="仿宋_GB2312"/>
          <w:kern w:val="0"/>
          <w:sz w:val="32"/>
          <w:szCs w:val="32"/>
          <w:lang w:eastAsia="zh-CN"/>
        </w:rPr>
        <w:t>属于财政补助事业单位，无</w:t>
      </w:r>
      <w:r>
        <w:rPr>
          <w:rFonts w:hint="eastAsia" w:ascii="仿宋_GB2312" w:hAnsi="仿宋_GB2312" w:eastAsia="仿宋_GB2312" w:cs="仿宋_GB2312"/>
          <w:kern w:val="0"/>
          <w:sz w:val="32"/>
          <w:szCs w:val="32"/>
        </w:rPr>
        <w:t>机关运行经费。</w:t>
      </w:r>
    </w:p>
    <w:p>
      <w:pPr>
        <w:autoSpaceDE w:val="0"/>
        <w:autoSpaceDN w:val="0"/>
        <w:adjustRightInd w:val="0"/>
        <w:spacing w:line="56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bookmarkStart w:id="0" w:name="_GoBack"/>
      <w:bookmarkEnd w:id="0"/>
    </w:p>
    <w:p>
      <w:pPr>
        <w:spacing w:line="56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2018年度本部门政府采购预算 0 元，支出决算总额元，完成年初预算的 0 %。其中：政府采购货物预算 0 元，支出决算总额 0元，完成年初预算的 0 。政府采购工程预算 0元，支出决算总额 0元，完成年初预算的 0 %。政府采购服务预算 0元，支出决算总额 0 元，完成年初预算的 0 %。</w:t>
      </w:r>
    </w:p>
    <w:p>
      <w:pPr>
        <w:spacing w:line="56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本单位本年度未发生政府采购业务。</w:t>
      </w:r>
    </w:p>
    <w:p>
      <w:pPr>
        <w:spacing w:line="56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6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截至2018年12月31日，本部门（单位）房屋面积</w:t>
      </w:r>
      <w:r>
        <w:rPr>
          <w:rFonts w:hint="eastAsia" w:ascii="仿宋_GB2312" w:hAnsi="宋体" w:eastAsia="仿宋_GB2312"/>
          <w:kern w:val="0"/>
          <w:sz w:val="30"/>
          <w:szCs w:val="30"/>
        </w:rPr>
        <w:t>4569</w:t>
      </w:r>
      <w:r>
        <w:rPr>
          <w:rFonts w:hint="eastAsia" w:ascii="仿宋_GB2312" w:hAnsi="仿宋_GB2312" w:eastAsia="仿宋_GB2312" w:cs="仿宋_GB2312"/>
          <w:kern w:val="0"/>
          <w:sz w:val="32"/>
          <w:szCs w:val="32"/>
        </w:rPr>
        <w:t>平方米，共有车辆 0  辆，其中：领导干部用车 0  辆、一般公务用车 0  辆；单价50万元以上通用设备 0  台（套），单价100万元（含）以上专用设备 0  台（套）。</w:t>
      </w:r>
    </w:p>
    <w:p>
      <w:pPr>
        <w:spacing w:line="56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spacing w:line="560" w:lineRule="exact"/>
        <w:ind w:firstLine="643"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1.预算绩效管理工作开展情况。</w:t>
      </w:r>
      <w:r>
        <w:rPr>
          <w:rFonts w:hint="eastAsia" w:ascii="仿宋_GB2312" w:hAnsi="仿宋_GB2312" w:eastAsia="仿宋_GB2312" w:cs="仿宋_GB2312"/>
          <w:kern w:val="0"/>
          <w:sz w:val="32"/>
          <w:szCs w:val="32"/>
        </w:rPr>
        <w:t xml:space="preserve">根据预算绩效管理要求，本部门组织对2018年度一般公共预算项目支出全面开展绩效自评。其中，一级项目  0 个，二级项目  0 个，共涉及资金  0 元，占一般公共预算项目支出总额的 0  %。组织对2018年度0、0等  0 个政府性基金预算项目支出开展绩效自评。共涉及资金  0 元，占政府性基金预算项目支出总额的  0 %。 </w:t>
      </w:r>
    </w:p>
    <w:p>
      <w:pPr>
        <w:spacing w:line="56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共组织对0、0等  0个项目开展了重点绩效评价，涉及一般公共预算支出 0  元，政府性基金预算支出  0 元。其中，对0、0等项目分别委托0、0等第三方机构开展绩效评价。</w:t>
      </w:r>
    </w:p>
    <w:p>
      <w:pPr>
        <w:spacing w:line="560" w:lineRule="exact"/>
        <w:ind w:firstLine="643"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2.以部门为主体开展的重点项目绩效评价结果（</w:t>
      </w:r>
      <w:r>
        <w:rPr>
          <w:rFonts w:hint="eastAsia" w:ascii="仿宋_GB2312" w:hAnsi="仿宋_GB2312" w:eastAsia="仿宋_GB2312" w:cs="仿宋_GB2312"/>
          <w:kern w:val="0"/>
          <w:sz w:val="32"/>
          <w:szCs w:val="32"/>
        </w:rPr>
        <w:t>各部门至少将1个以上以部门为主体开展的重点项目绩效评价报告或绩效评价综述向社会公开</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。0项目绩效自评综述：根据年初设定的绩效目标，0项目绩效自评得分为  0 分。项目全年预算数为  0 元，执行数为 0  元，完成预算的  0 %。</w:t>
      </w:r>
    </w:p>
    <w:p>
      <w:pPr>
        <w:widowControl/>
        <w:ind w:left="401" w:leftChars="191"/>
        <w:jc w:val="left"/>
        <w:rPr>
          <w:rFonts w:ascii="方正小标宋_GBK" w:hAnsi="宋体" w:eastAsia="方正小标宋_GBK"/>
          <w:kern w:val="0"/>
          <w:sz w:val="44"/>
          <w:szCs w:val="44"/>
        </w:rPr>
      </w:pPr>
      <w:r>
        <w:rPr>
          <w:rFonts w:hint="eastAsia" w:ascii="仿宋_GB2312" w:hAnsi="仿宋_GB2312" w:eastAsia="仿宋_GB2312" w:cs="仿宋_GB2312"/>
          <w:kern w:val="0"/>
          <w:sz w:val="32"/>
          <w:szCs w:val="32"/>
        </w:rPr>
        <w:t>本单位本年度暂未开展预算绩效评价。</w:t>
      </w:r>
    </w:p>
    <w:p>
      <w:pPr>
        <w:spacing w:line="560" w:lineRule="exact"/>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第四部分  名词解释</w:t>
      </w:r>
    </w:p>
    <w:p>
      <w:pPr>
        <w:snapToGrid w:val="0"/>
        <w:spacing w:line="580" w:lineRule="exact"/>
        <w:rPr>
          <w:rFonts w:ascii="方正小标宋_GBK" w:hAnsi="宋体" w:eastAsia="方正小标宋_GBK"/>
          <w:kern w:val="0"/>
          <w:sz w:val="44"/>
          <w:szCs w:val="44"/>
        </w:rPr>
      </w:pP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一、支出功能分类科目编码、名称：</w:t>
      </w:r>
      <w:r>
        <w:rPr>
          <w:rFonts w:hint="eastAsia" w:ascii="仿宋_GB2312" w:hAnsi="仿宋" w:eastAsia="仿宋_GB2312"/>
          <w:sz w:val="32"/>
          <w:szCs w:val="32"/>
        </w:rPr>
        <w:t>按照《2018年政府收支分类科目》“类”、“款”、“项”的编码和名称填列</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二、年初结转和结余：</w:t>
      </w:r>
      <w:r>
        <w:rPr>
          <w:rFonts w:hint="eastAsia" w:ascii="仿宋_GB2312" w:hAnsi="仿宋" w:eastAsia="仿宋_GB2312"/>
          <w:sz w:val="32"/>
          <w:szCs w:val="32"/>
        </w:rPr>
        <w:t>是指单位上年结转本年使用的基本支出结转、项目支出结转和结余和经营结余。</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三、基本支出结转：</w:t>
      </w:r>
      <w:r>
        <w:rPr>
          <w:rFonts w:hint="eastAsia" w:ascii="仿宋_GB2312" w:hAnsi="仿宋" w:eastAsia="仿宋_GB2312"/>
          <w:sz w:val="32"/>
          <w:szCs w:val="32"/>
        </w:rPr>
        <w:t>是指单位基本支出收支相抵后结转本年使用的累计余额，包括事业单位未转入事业基金的基本支出结转。</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四、项目支出结转和结余：</w:t>
      </w:r>
      <w:r>
        <w:rPr>
          <w:rFonts w:hint="eastAsia" w:ascii="仿宋_GB2312" w:hAnsi="仿宋" w:eastAsia="仿宋_GB2312"/>
          <w:sz w:val="32"/>
          <w:szCs w:val="32"/>
        </w:rPr>
        <w:t>是指单位从财政部门或上级单位等取得，需要结转本年继续使用的项目支出收支累计余额。</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五、基本建设资金结转和结余：</w:t>
      </w:r>
      <w:r>
        <w:rPr>
          <w:rFonts w:hint="eastAsia" w:ascii="仿宋_GB2312" w:hAnsi="仿宋" w:eastAsia="仿宋_GB2312"/>
          <w:sz w:val="32"/>
          <w:szCs w:val="32"/>
        </w:rPr>
        <w:t>是指单位基本建设类资金中非偿还性资金结转本年使用的累计余额。</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六、本年收入：</w:t>
      </w:r>
      <w:r>
        <w:rPr>
          <w:rFonts w:hint="eastAsia" w:ascii="仿宋_GB2312" w:hAnsi="仿宋" w:eastAsia="仿宋_GB2312"/>
          <w:sz w:val="32"/>
          <w:szCs w:val="32"/>
        </w:rPr>
        <w:t>是指单位本年度取得的全部收入。</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七、本年支出：</w:t>
      </w:r>
      <w:r>
        <w:rPr>
          <w:rFonts w:hint="eastAsia" w:ascii="仿宋_GB2312" w:hAnsi="仿宋" w:eastAsia="仿宋_GB2312"/>
          <w:sz w:val="32"/>
          <w:szCs w:val="32"/>
        </w:rPr>
        <w:t>是指单位本年度全部支出。</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八、结余分配：</w:t>
      </w:r>
      <w:r>
        <w:rPr>
          <w:rFonts w:hint="eastAsia" w:ascii="仿宋_GB2312" w:hAnsi="仿宋" w:eastAsia="仿宋_GB2312"/>
          <w:sz w:val="32"/>
          <w:szCs w:val="32"/>
        </w:rPr>
        <w:t>是指单位当年结余的分配情况。</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九、年末结转和结余：</w:t>
      </w:r>
      <w:r>
        <w:rPr>
          <w:rFonts w:hint="eastAsia" w:ascii="仿宋_GB2312" w:hAnsi="仿宋" w:eastAsia="仿宋_GB2312"/>
          <w:sz w:val="32"/>
          <w:szCs w:val="32"/>
        </w:rPr>
        <w:t>是指单位结转下年的基本支出结转、项目支出结转和结余和经营结余。</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十、财政拨款收入：</w:t>
      </w:r>
      <w:r>
        <w:rPr>
          <w:rFonts w:hint="eastAsia" w:ascii="仿宋_GB2312" w:hAnsi="仿宋" w:eastAsia="仿宋_GB2312"/>
          <w:sz w:val="32"/>
          <w:szCs w:val="32"/>
        </w:rPr>
        <w:t>是指单位本年度从本级财政部门取得的财政拨款，包括一般公共预算财政拨款和政府性基金预算财政拨款。</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十一、事业收入：</w:t>
      </w:r>
      <w:r>
        <w:rPr>
          <w:rFonts w:hint="eastAsia" w:ascii="仿宋_GB2312" w:hAnsi="仿宋" w:eastAsia="仿宋_GB2312"/>
          <w:sz w:val="32"/>
          <w:szCs w:val="32"/>
        </w:rPr>
        <w:t>是指事业单位开展专业业务活动及其辅助活动取得的收入。</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十二、经营收入：</w:t>
      </w:r>
      <w:r>
        <w:rPr>
          <w:rFonts w:hint="eastAsia" w:ascii="仿宋_GB2312" w:hAnsi="仿宋" w:eastAsia="仿宋_GB2312"/>
          <w:sz w:val="32"/>
          <w:szCs w:val="32"/>
        </w:rPr>
        <w:t>是指事业单位在专业业务活动及其辅助活动之外开展非独立核算经营活动取得的收入。</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十三、其他收入：</w:t>
      </w:r>
      <w:r>
        <w:rPr>
          <w:rFonts w:hint="eastAsia" w:ascii="仿宋_GB2312" w:hAnsi="仿宋" w:eastAsia="仿宋_GB2312"/>
          <w:sz w:val="32"/>
          <w:szCs w:val="32"/>
        </w:rPr>
        <w:t>是指单位取得的除“财政拨款收入”、“事业收入”、“经营收入”等以外的各项收入。</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十四、基本支出：</w:t>
      </w:r>
      <w:r>
        <w:rPr>
          <w:rFonts w:hint="eastAsia" w:ascii="仿宋_GB2312" w:hAnsi="仿宋" w:eastAsia="仿宋_GB2312"/>
          <w:sz w:val="32"/>
          <w:szCs w:val="32"/>
        </w:rPr>
        <w:t>是指单位为保障机构正常运转、完成日常工作任务而发生的各项支出。</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十五、项目支出：</w:t>
      </w:r>
      <w:r>
        <w:rPr>
          <w:rFonts w:hint="eastAsia" w:ascii="仿宋_GB2312" w:hAnsi="仿宋" w:eastAsia="仿宋_GB2312"/>
          <w:sz w:val="32"/>
          <w:szCs w:val="32"/>
        </w:rPr>
        <w:t>是指单位为完成特定的行政工作任务或事业发展目标，在基本支出之外发生的各项支出。</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十六、经营支出：</w:t>
      </w:r>
      <w:r>
        <w:rPr>
          <w:rFonts w:hint="eastAsia" w:ascii="仿宋_GB2312" w:hAnsi="仿宋" w:eastAsia="仿宋_GB2312"/>
          <w:sz w:val="32"/>
          <w:szCs w:val="32"/>
        </w:rPr>
        <w:t>是指事业单位在专业活动及辅助活动之外开展非独立核算经营活动发生的支出。</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十七、人员经费：</w:t>
      </w:r>
      <w:r>
        <w:rPr>
          <w:rFonts w:hint="eastAsia" w:ascii="仿宋_GB2312" w:hAnsi="仿宋" w:eastAsia="仿宋_GB2312"/>
          <w:sz w:val="32"/>
          <w:szCs w:val="32"/>
        </w:rPr>
        <w:t>是指单位基本支出中用一般公共预算财政拨款安排的“工资福利支出”和“对个人和家庭的补助”。</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十八、日常公用经费：</w:t>
      </w:r>
      <w:r>
        <w:rPr>
          <w:rFonts w:hint="eastAsia" w:ascii="仿宋_GB2312" w:hAnsi="仿宋" w:eastAsia="仿宋_GB2312"/>
          <w:sz w:val="32"/>
          <w:szCs w:val="32"/>
        </w:rPr>
        <w:t>是指单位用一般公共预算财政拨款安排的除人员经费以外的基本支出。</w:t>
      </w:r>
    </w:p>
    <w:p>
      <w:pPr>
        <w:snapToGrid w:val="0"/>
        <w:spacing w:line="640" w:lineRule="exact"/>
        <w:ind w:firstLine="640" w:firstLineChars="200"/>
        <w:rPr>
          <w:rFonts w:ascii="仿宋_GB2312" w:hAnsi="仿宋" w:eastAsia="仿宋_GB2312"/>
          <w:sz w:val="32"/>
          <w:szCs w:val="32"/>
        </w:rPr>
      </w:pPr>
      <w:r>
        <w:rPr>
          <w:rFonts w:hint="eastAsia" w:ascii="黑体" w:hAnsi="宋体" w:eastAsia="黑体" w:cs="宋体"/>
          <w:color w:val="000000"/>
          <w:kern w:val="0"/>
          <w:sz w:val="32"/>
          <w:szCs w:val="32"/>
        </w:rPr>
        <w:t>十九、“三公”经费：</w:t>
      </w:r>
      <w:r>
        <w:rPr>
          <w:rFonts w:hint="eastAsia" w:ascii="仿宋_GB2312" w:hAnsi="宋体" w:eastAsia="仿宋_GB2312" w:cs="宋体"/>
          <w:color w:val="000000"/>
          <w:kern w:val="0"/>
          <w:sz w:val="32"/>
          <w:szCs w:val="32"/>
        </w:rPr>
        <w:t>纳入中央财政预决算管理的“三公”经费，是指部门用财政拨款安排的因公出国（境）费、公务用车购置及运行费和公务接待费。</w:t>
      </w:r>
    </w:p>
    <w:p>
      <w:pPr>
        <w:snapToGrid w:val="0"/>
        <w:spacing w:line="640" w:lineRule="exact"/>
        <w:ind w:firstLine="640" w:firstLineChars="200"/>
        <w:rPr>
          <w:rFonts w:ascii="仿宋_GB2312" w:hAnsi="仿宋" w:eastAsia="仿宋_GB2312"/>
          <w:sz w:val="32"/>
          <w:szCs w:val="32"/>
        </w:rPr>
      </w:pPr>
      <w:r>
        <w:rPr>
          <w:rFonts w:hint="eastAsia" w:ascii="黑体" w:hAnsi="宋体" w:eastAsia="黑体" w:cs="宋体"/>
          <w:color w:val="333333"/>
          <w:kern w:val="0"/>
          <w:sz w:val="32"/>
          <w:szCs w:val="32"/>
        </w:rPr>
        <w:t>二十、机关运行经费：</w:t>
      </w:r>
      <w:r>
        <w:rPr>
          <w:rFonts w:hint="eastAsia" w:ascii="仿宋_GB2312" w:hAnsi="仿宋" w:eastAsia="仿宋_GB2312"/>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napToGrid w:val="0"/>
        <w:spacing w:line="640" w:lineRule="exact"/>
        <w:ind w:firstLine="640" w:firstLineChars="200"/>
        <w:rPr>
          <w:rFonts w:ascii="仿宋_GB2312" w:hAnsi="宋体" w:eastAsia="仿宋_GB2312" w:cs="宋体"/>
          <w:kern w:val="0"/>
          <w:sz w:val="32"/>
          <w:szCs w:val="32"/>
        </w:rPr>
      </w:pPr>
    </w:p>
    <w:p>
      <w:pPr>
        <w:pBdr>
          <w:top w:val="none" w:color="auto" w:sz="0" w:space="1"/>
          <w:left w:val="none" w:color="auto" w:sz="0" w:space="4"/>
          <w:bottom w:val="none" w:color="auto" w:sz="0" w:space="1"/>
          <w:right w:val="none" w:color="auto" w:sz="0" w:space="4"/>
        </w:pBdr>
        <w:spacing w:line="440" w:lineRule="exact"/>
        <w:ind w:firstLine="280" w:firstLineChars="100"/>
        <w:rPr>
          <w:rFonts w:ascii="仿宋_GB2312" w:hAnsi="宋体" w:eastAsia="仿宋_GB2312"/>
          <w:color w:val="000000"/>
          <w:sz w:val="28"/>
          <w:szCs w:val="28"/>
        </w:rPr>
      </w:pPr>
    </w:p>
    <w:p>
      <w:pPr>
        <w:pBdr>
          <w:top w:val="none" w:color="auto" w:sz="0" w:space="1"/>
          <w:left w:val="none" w:color="auto" w:sz="0" w:space="4"/>
          <w:bottom w:val="none" w:color="auto" w:sz="0" w:space="1"/>
          <w:right w:val="none" w:color="auto" w:sz="0" w:space="4"/>
        </w:pBdr>
        <w:spacing w:line="440" w:lineRule="exact"/>
        <w:ind w:firstLine="320" w:firstLineChars="100"/>
        <w:rPr>
          <w:rFonts w:ascii="仿宋_GB2312" w:eastAsia="仿宋_GB2312"/>
          <w:sz w:val="32"/>
          <w:szCs w:val="32"/>
        </w:rPr>
      </w:pPr>
    </w:p>
    <w:p>
      <w:pPr>
        <w:spacing w:line="240" w:lineRule="atLeast"/>
        <w:rPr>
          <w:rFonts w:ascii="仿宋_GB2312" w:hAnsi="仿宋_GB2312" w:eastAsia="仿宋_GB2312" w:cs="仿宋_GB2312"/>
          <w:sz w:val="32"/>
          <w:szCs w:val="32"/>
        </w:rPr>
      </w:pPr>
    </w:p>
    <w:sectPr>
      <w:headerReference r:id="rId5" w:type="default"/>
      <w:footerReference r:id="rId6" w:type="default"/>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roma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altName w:val="方正姚体"/>
    <w:panose1 w:val="00000000000000000000"/>
    <w:charset w:val="86"/>
    <w:family w:val="script"/>
    <w:pitch w:val="default"/>
    <w:sig w:usb0="00000000" w:usb1="0000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rPr>
        <w:rFonts w:ascii="宋体" w:hAnsi="宋体"/>
        <w:sz w:val="24"/>
        <w:szCs w:val="24"/>
      </w:rPr>
    </w:pPr>
    <w:r>
      <w:rPr>
        <w:sz w:val="24"/>
      </w:rP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rPr>
        <w:rFonts w:ascii="宋体" w:hAnsi="宋体"/>
        <w:sz w:val="24"/>
        <w:szCs w:val="24"/>
      </w:rPr>
    </w:pPr>
    <w:r>
      <w:rPr>
        <w:sz w:val="24"/>
      </w:rP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4"/>
        <w:szCs w:val="24"/>
      </w:rPr>
    </w:pPr>
    <w:r>
      <w:rPr>
        <w:rFonts w:hint="eastAsia" w:ascii="宋体" w:hAnsi="宋体"/>
        <w:sz w:val="24"/>
        <w:szCs w:val="24"/>
      </w:rPr>
      <w:t xml:space="preserve">— </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t>8</w:t>
    </w:r>
    <w:r>
      <w:rPr>
        <w:rFonts w:ascii="宋体" w:hAnsi="宋体"/>
        <w:sz w:val="24"/>
        <w:szCs w:val="24"/>
      </w:rPr>
      <w:fldChar w:fldCharType="end"/>
    </w:r>
    <w:r>
      <w:rPr>
        <w:rFonts w:hint="eastAsia" w:ascii="宋体" w:hAnsi="宋体"/>
        <w:sz w:val="24"/>
        <w:szCs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0143D8"/>
    <w:multiLevelType w:val="singleLevel"/>
    <w:tmpl w:val="930143D8"/>
    <w:lvl w:ilvl="0" w:tentative="0">
      <w:start w:val="1"/>
      <w:numFmt w:val="decimal"/>
      <w:lvlText w:val="%1."/>
      <w:lvlJc w:val="left"/>
      <w:pPr>
        <w:tabs>
          <w:tab w:val="left" w:pos="312"/>
        </w:tabs>
      </w:pPr>
    </w:lvl>
  </w:abstractNum>
  <w:abstractNum w:abstractNumId="1">
    <w:nsid w:val="FB78CA89"/>
    <w:multiLevelType w:val="singleLevel"/>
    <w:tmpl w:val="FB78CA89"/>
    <w:lvl w:ilvl="0" w:tentative="0">
      <w:start w:val="1"/>
      <w:numFmt w:val="chineseCounting"/>
      <w:suff w:val="space"/>
      <w:lvlText w:val="第%1部分"/>
      <w:lvlJc w:val="left"/>
      <w:rPr>
        <w:rFonts w:hint="eastAsia"/>
      </w:rPr>
    </w:lvl>
  </w:abstractNum>
  <w:abstractNum w:abstractNumId="2">
    <w:nsid w:val="00000001"/>
    <w:multiLevelType w:val="singleLevel"/>
    <w:tmpl w:val="00000001"/>
    <w:lvl w:ilvl="0" w:tentative="0">
      <w:start w:val="1"/>
      <w:numFmt w:val="chineseCounting"/>
      <w:suff w:val="nothing"/>
      <w:lvlText w:val="（%1）"/>
      <w:lvlJc w:val="left"/>
    </w:lvl>
  </w:abstractNum>
  <w:abstractNum w:abstractNumId="3">
    <w:nsid w:val="00000002"/>
    <w:multiLevelType w:val="singleLevel"/>
    <w:tmpl w:val="00000002"/>
    <w:lvl w:ilvl="0" w:tentative="0">
      <w:start w:val="1"/>
      <w:numFmt w:val="chineseCounting"/>
      <w:suff w:val="nothing"/>
      <w:lvlText w:val="（%1）"/>
      <w:lvlJc w:val="left"/>
    </w:lvl>
  </w:abstractNum>
  <w:abstractNum w:abstractNumId="4">
    <w:nsid w:val="00000003"/>
    <w:multiLevelType w:val="singleLevel"/>
    <w:tmpl w:val="00000003"/>
    <w:lvl w:ilvl="0" w:tentative="0">
      <w:start w:val="2"/>
      <w:numFmt w:val="chineseCounting"/>
      <w:suff w:val="nothing"/>
      <w:lvlText w:val="（%1）"/>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76CFD"/>
    <w:rsid w:val="0004418B"/>
    <w:rsid w:val="00056003"/>
    <w:rsid w:val="00060DD4"/>
    <w:rsid w:val="000746BF"/>
    <w:rsid w:val="00092914"/>
    <w:rsid w:val="000B4CE2"/>
    <w:rsid w:val="000B5ADA"/>
    <w:rsid w:val="000F5C42"/>
    <w:rsid w:val="001853AB"/>
    <w:rsid w:val="001D1BCD"/>
    <w:rsid w:val="002208BB"/>
    <w:rsid w:val="00237A34"/>
    <w:rsid w:val="00243797"/>
    <w:rsid w:val="002872D9"/>
    <w:rsid w:val="002D03B3"/>
    <w:rsid w:val="002E10E7"/>
    <w:rsid w:val="003E2049"/>
    <w:rsid w:val="003F13BF"/>
    <w:rsid w:val="00414309"/>
    <w:rsid w:val="0043621C"/>
    <w:rsid w:val="00465D0F"/>
    <w:rsid w:val="004D3089"/>
    <w:rsid w:val="004D51E6"/>
    <w:rsid w:val="00590496"/>
    <w:rsid w:val="005974AB"/>
    <w:rsid w:val="006003DD"/>
    <w:rsid w:val="00625276"/>
    <w:rsid w:val="006335D9"/>
    <w:rsid w:val="006337EB"/>
    <w:rsid w:val="00634422"/>
    <w:rsid w:val="00694971"/>
    <w:rsid w:val="0070617C"/>
    <w:rsid w:val="00724304"/>
    <w:rsid w:val="007345CA"/>
    <w:rsid w:val="0073603A"/>
    <w:rsid w:val="00740DB4"/>
    <w:rsid w:val="007421FC"/>
    <w:rsid w:val="0074382C"/>
    <w:rsid w:val="00762D09"/>
    <w:rsid w:val="0077039D"/>
    <w:rsid w:val="0081100C"/>
    <w:rsid w:val="0081506A"/>
    <w:rsid w:val="0081654D"/>
    <w:rsid w:val="00876CFD"/>
    <w:rsid w:val="008C6CE8"/>
    <w:rsid w:val="00903CFD"/>
    <w:rsid w:val="00982F01"/>
    <w:rsid w:val="009F70A7"/>
    <w:rsid w:val="00A42763"/>
    <w:rsid w:val="00A7059F"/>
    <w:rsid w:val="00AA637E"/>
    <w:rsid w:val="00B87CC3"/>
    <w:rsid w:val="00B92E7B"/>
    <w:rsid w:val="00BA0F9E"/>
    <w:rsid w:val="00BF5D6F"/>
    <w:rsid w:val="00C06DA1"/>
    <w:rsid w:val="00C628ED"/>
    <w:rsid w:val="00C72F09"/>
    <w:rsid w:val="00CD025A"/>
    <w:rsid w:val="00CD10B1"/>
    <w:rsid w:val="00D00525"/>
    <w:rsid w:val="00D0165F"/>
    <w:rsid w:val="00D202F5"/>
    <w:rsid w:val="00D86226"/>
    <w:rsid w:val="00DA2923"/>
    <w:rsid w:val="00DD2947"/>
    <w:rsid w:val="00DF78A2"/>
    <w:rsid w:val="00E84BD0"/>
    <w:rsid w:val="00E85F32"/>
    <w:rsid w:val="00E93C37"/>
    <w:rsid w:val="00EB11AD"/>
    <w:rsid w:val="00EB7057"/>
    <w:rsid w:val="00EE2938"/>
    <w:rsid w:val="00F076F2"/>
    <w:rsid w:val="00F10F8A"/>
    <w:rsid w:val="00F24B2C"/>
    <w:rsid w:val="00F55B30"/>
    <w:rsid w:val="00F63277"/>
    <w:rsid w:val="00F70F2B"/>
    <w:rsid w:val="00F729B0"/>
    <w:rsid w:val="00FA1983"/>
    <w:rsid w:val="00FA3D0C"/>
    <w:rsid w:val="00FC332A"/>
    <w:rsid w:val="00FE350E"/>
    <w:rsid w:val="0165482F"/>
    <w:rsid w:val="02A420C7"/>
    <w:rsid w:val="048C0506"/>
    <w:rsid w:val="048E3A0A"/>
    <w:rsid w:val="04CE00F8"/>
    <w:rsid w:val="06C248A3"/>
    <w:rsid w:val="088B2F95"/>
    <w:rsid w:val="0AC34146"/>
    <w:rsid w:val="0E467EF7"/>
    <w:rsid w:val="0E6C2696"/>
    <w:rsid w:val="0E827D49"/>
    <w:rsid w:val="11E16C56"/>
    <w:rsid w:val="13CA5357"/>
    <w:rsid w:val="13DC473C"/>
    <w:rsid w:val="17DE03BD"/>
    <w:rsid w:val="19F2533C"/>
    <w:rsid w:val="1C775C44"/>
    <w:rsid w:val="202A6055"/>
    <w:rsid w:val="21B6649E"/>
    <w:rsid w:val="2278111D"/>
    <w:rsid w:val="227E3026"/>
    <w:rsid w:val="23AF6C1B"/>
    <w:rsid w:val="263230B7"/>
    <w:rsid w:val="29B03BD7"/>
    <w:rsid w:val="2D0D349B"/>
    <w:rsid w:val="2D814D2E"/>
    <w:rsid w:val="2F59133A"/>
    <w:rsid w:val="2F791BD0"/>
    <w:rsid w:val="355014C3"/>
    <w:rsid w:val="35586D92"/>
    <w:rsid w:val="365A34BC"/>
    <w:rsid w:val="373F4A34"/>
    <w:rsid w:val="37BA0AFA"/>
    <w:rsid w:val="37FE3B6D"/>
    <w:rsid w:val="380D6386"/>
    <w:rsid w:val="3F4A3D13"/>
    <w:rsid w:val="41E22C89"/>
    <w:rsid w:val="4282436C"/>
    <w:rsid w:val="4339711E"/>
    <w:rsid w:val="443E0593"/>
    <w:rsid w:val="447825AD"/>
    <w:rsid w:val="459D7078"/>
    <w:rsid w:val="46BD50ED"/>
    <w:rsid w:val="47257848"/>
    <w:rsid w:val="47974304"/>
    <w:rsid w:val="4D5C2542"/>
    <w:rsid w:val="4E2E4421"/>
    <w:rsid w:val="4F084DDD"/>
    <w:rsid w:val="4F803A1B"/>
    <w:rsid w:val="4F8603C5"/>
    <w:rsid w:val="50261348"/>
    <w:rsid w:val="512A76B9"/>
    <w:rsid w:val="52BF440A"/>
    <w:rsid w:val="532277F3"/>
    <w:rsid w:val="53AE2215"/>
    <w:rsid w:val="5597474B"/>
    <w:rsid w:val="55F0088B"/>
    <w:rsid w:val="574B3338"/>
    <w:rsid w:val="587F5BF6"/>
    <w:rsid w:val="588C3A33"/>
    <w:rsid w:val="5A1A3A24"/>
    <w:rsid w:val="5D2E6DF6"/>
    <w:rsid w:val="5D9717B6"/>
    <w:rsid w:val="5F950682"/>
    <w:rsid w:val="61B878F4"/>
    <w:rsid w:val="63D62342"/>
    <w:rsid w:val="64231726"/>
    <w:rsid w:val="655A1AAD"/>
    <w:rsid w:val="65732701"/>
    <w:rsid w:val="658D0003"/>
    <w:rsid w:val="665F7D80"/>
    <w:rsid w:val="66645704"/>
    <w:rsid w:val="68AC0C4A"/>
    <w:rsid w:val="6992794A"/>
    <w:rsid w:val="6AA40D85"/>
    <w:rsid w:val="6AAE1C76"/>
    <w:rsid w:val="6CDF702A"/>
    <w:rsid w:val="71041609"/>
    <w:rsid w:val="72416B1C"/>
    <w:rsid w:val="73D8631E"/>
    <w:rsid w:val="750B1B93"/>
    <w:rsid w:val="7A0761A8"/>
    <w:rsid w:val="7AFA5152"/>
    <w:rsid w:val="7B7D335A"/>
    <w:rsid w:val="7D6C1353"/>
    <w:rsid w:val="7DCF13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Title"/>
    <w:basedOn w:val="1"/>
    <w:link w:val="11"/>
    <w:qFormat/>
    <w:uiPriority w:val="0"/>
    <w:pPr>
      <w:spacing w:before="240" w:after="60"/>
      <w:jc w:val="center"/>
      <w:outlineLvl w:val="0"/>
    </w:pPr>
    <w:rPr>
      <w:rFonts w:ascii="Arial" w:hAnsi="Arial" w:cs="Arial"/>
      <w:b/>
      <w:bCs/>
      <w:sz w:val="32"/>
      <w:szCs w:val="32"/>
    </w:rPr>
  </w:style>
  <w:style w:type="character" w:styleId="8">
    <w:name w:val="page number"/>
    <w:basedOn w:val="7"/>
    <w:qFormat/>
    <w:uiPriority w:val="0"/>
  </w:style>
  <w:style w:type="character" w:customStyle="1" w:styleId="9">
    <w:name w:val="页眉 Char"/>
    <w:basedOn w:val="7"/>
    <w:link w:val="4"/>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标题 Char"/>
    <w:basedOn w:val="7"/>
    <w:link w:val="5"/>
    <w:qFormat/>
    <w:uiPriority w:val="0"/>
    <w:rPr>
      <w:rFonts w:ascii="Arial" w:hAnsi="Arial" w:eastAsia="宋体" w:cs="Arial"/>
      <w:b/>
      <w:bCs/>
      <w:sz w:val="32"/>
      <w:szCs w:val="32"/>
    </w:rPr>
  </w:style>
  <w:style w:type="paragraph" w:customStyle="1" w:styleId="1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3">
    <w:name w:val="批注框文本 Char"/>
    <w:basedOn w:val="7"/>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BAE8D0-CBA5-4EA3-A2B7-2CA864B21A84}">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894</Words>
  <Characters>5099</Characters>
  <Lines>42</Lines>
  <Paragraphs>11</Paragraphs>
  <TotalTime>0</TotalTime>
  <ScaleCrop>false</ScaleCrop>
  <LinksUpToDate>false</LinksUpToDate>
  <CharactersWithSpaces>5982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2019-08-28T10:01:00Z</dcterms:created>
  <dc:creator>lenovo</dc:creator>
  <cp:lastModifiedBy>Administrator</cp:lastModifiedBy>
  <cp:lastPrinted>2019-09-03T01:23:00Z</cp:lastPrinted>
  <dcterms:modified xsi:type="dcterms:W3CDTF">2019-12-17T06:40:28Z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