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after="319" w:afterLines="50" w:line="1300" w:lineRule="exact"/>
        <w:jc w:val="center"/>
        <w:rPr>
          <w:rFonts w:ascii="方正小标宋_GBK" w:eastAsia="方正小标宋_GBK"/>
          <w:color w:val="FF0000"/>
          <w:spacing w:val="40"/>
          <w:w w:val="90"/>
          <w:sz w:val="86"/>
          <w:szCs w:val="8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86"/>
          <w:szCs w:val="86"/>
        </w:rPr>
        <w:t>贺兰县人民政府</w:t>
      </w:r>
    </w:p>
    <w:p>
      <w:pPr>
        <w:jc w:val="center"/>
        <w:rPr>
          <w:rFonts w:ascii="方正小标宋简体" w:eastAsia="方正小标宋简体"/>
          <w:color w:val="FF0000"/>
          <w:w w:val="90"/>
          <w:sz w:val="116"/>
          <w:szCs w:val="11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116"/>
          <w:szCs w:val="116"/>
        </w:rPr>
        <w:t>教育督导室文</w:t>
      </w:r>
      <w:r>
        <w:rPr>
          <w:rFonts w:hint="eastAsia" w:ascii="方正小标宋_GBK" w:eastAsia="方正小标宋_GBK"/>
          <w:color w:val="FF0000"/>
          <w:w w:val="90"/>
          <w:sz w:val="116"/>
          <w:szCs w:val="116"/>
        </w:rPr>
        <w:t>件</w:t>
      </w:r>
    </w:p>
    <w:p>
      <w:pPr>
        <w:spacing w:before="319" w:before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贺政教督发〔20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900" w:lineRule="exact"/>
        <w:rPr>
          <w:rFonts w:ascii="仿宋_GB2312"/>
          <w:szCs w:val="32"/>
        </w:rPr>
      </w:pPr>
      <w:r>
        <w:rPr>
          <w:rFonts w:ascii="Times New Roman"/>
          <w:szCs w:val="21"/>
        </w:rPr>
        <w:pict>
          <v:line id="直接连接符 2" o:spid="_x0000_s2050" o:spt="20" style="position:absolute;left:0pt;margin-left:1.5pt;margin-top:3.6pt;height:0pt;width:447.8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COMQIAADQ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关于对贺兰县教育系统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“两会”期间安全生产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工作及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新冠肺炎疫情防控工作落实情况督导检查的通知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各中小学、幼儿园、培训机构：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全国“两会”召开在即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为切实做好20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年全国“两会”期间安全生产工作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新冠肺炎疫情防控工作，确保“两会”期间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教育系统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安全生产形势平稳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保障师生身体健康和生命安全。根据文件精神，结合我县实际情况，决定对全县各中小学、幼儿园、培训机构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“两会”期间安全生产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工作及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新冠肺炎疫情防控工作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/>
        </w:rPr>
        <w:t>履行职责进行专项督导检查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现就相关事项通知如下。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  <w:t>检查</w:t>
      </w:r>
      <w:r>
        <w:rPr>
          <w:rFonts w:hint="eastAsia" w:ascii="黑体" w:hAnsi="黑体" w:eastAsia="黑体"/>
          <w:sz w:val="32"/>
          <w:szCs w:val="32"/>
          <w:shd w:val="clear" w:color="auto" w:fill="FFFFFF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2020年5月18日至5月22日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督导检查领导小组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长：陈  娜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副组长：王  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员：方  佳  各责任督学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督导方式</w:t>
      </w:r>
    </w:p>
    <w:p>
      <w:pPr>
        <w:pStyle w:val="9"/>
        <w:numPr>
          <w:ilvl w:val="0"/>
          <w:numId w:val="0"/>
        </w:numPr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（一）贺兰县人民政府教育督导室下设六个督导小组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第一督导组：杨建海    胡生祥    王晓菁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第二督导组：陈  福    杨玉林    宋  红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第三督导组：丁学仁    丁世山    彭晓虎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第四督导组：张秀萍    陆文逊    赵学峰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第五督导组：彭国斌    王明生    杨立军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第六督导组：石建云    吴学宁    方海娟</w:t>
      </w:r>
    </w:p>
    <w:p>
      <w:pPr>
        <w:pStyle w:val="9"/>
        <w:numPr>
          <w:ilvl w:val="0"/>
          <w:numId w:val="0"/>
        </w:numPr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（二）区域划分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根据行政区划分和相对就近原则，划分6个责任片区，由六组责任督学落实专项督导检查工作。（具体人员划分见附件1）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督导内容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（一）新冠肺炎疫情防控工作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及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未复课学校开学准备情况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）学校安全制度的健全和落实情况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）学校食品卫生安全管理情况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ab/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学校消防、用电安全情况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）学校传染病防控情况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六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）学校校舍和教育教学设施安全情况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七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）学校安全教育开展情况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八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）师生安全隐患风险点摸排情况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）学校周边环境整治情况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）危险化学品及消毒药品安全管理情况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）开展“预防校园欺凌”专项治理情况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）信访维稳工作情况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（十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）学生复课及居家学习心理健康教育情况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   督导具体细则见附件2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贺兰县教育系统“两会”期间安全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产工作及新冠肺炎疫情防控工作落实情况督导细则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9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督导要求</w:t>
      </w:r>
    </w:p>
    <w:p>
      <w:pPr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2"/>
          <w:sz w:val="32"/>
          <w:szCs w:val="32"/>
          <w:lang w:val="en-US" w:eastAsia="zh-CN" w:bidi="ar-SA"/>
        </w:rPr>
        <w:t>（一）加强组织领导，严格履职尽责。</w:t>
      </w:r>
      <w:r>
        <w:rPr>
          <w:rFonts w:hint="eastAsia" w:ascii="仿宋_GB2312" w:eastAsia="仿宋_GB2312"/>
          <w:sz w:val="32"/>
          <w:szCs w:val="32"/>
        </w:rPr>
        <w:t>各督导组要</w:t>
      </w:r>
      <w:r>
        <w:rPr>
          <w:rFonts w:hint="eastAsia" w:ascii="仿宋_GB2312" w:hAnsi="仿宋" w:eastAsia="仿宋_GB2312" w:cstheme="minorBidi"/>
          <w:kern w:val="2"/>
          <w:sz w:val="32"/>
          <w:szCs w:val="32"/>
          <w:lang w:val="en-US" w:eastAsia="zh-CN" w:bidi="ar-SA"/>
        </w:rPr>
        <w:t>高度重视</w:t>
      </w:r>
      <w:r>
        <w:rPr>
          <w:rFonts w:hint="eastAsia" w:ascii="仿宋_GB2312" w:eastAsia="仿宋_GB2312"/>
          <w:sz w:val="32"/>
          <w:szCs w:val="32"/>
          <w:lang w:eastAsia="zh-CN"/>
        </w:rPr>
        <w:t>“两会”期间安全生产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工作及</w:t>
      </w:r>
      <w:r>
        <w:rPr>
          <w:rFonts w:hint="eastAsia" w:ascii="仿宋_GB2312" w:eastAsia="仿宋_GB2312"/>
          <w:sz w:val="32"/>
          <w:szCs w:val="32"/>
        </w:rPr>
        <w:t>新冠肺炎疫情防控工作落实情况督导检查，扎实做好此次专项督导工作，高标准完成各项督导任务。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kern w:val="2"/>
          <w:sz w:val="32"/>
          <w:szCs w:val="32"/>
          <w:lang w:val="en-US" w:eastAsia="zh-CN" w:bidi="ar-SA"/>
        </w:rPr>
        <w:t>（二）加强协调配合，形成工作合力。此次</w:t>
      </w:r>
      <w:r>
        <w:rPr>
          <w:rFonts w:hint="eastAsia" w:ascii="仿宋_GB2312" w:eastAsia="仿宋_GB2312"/>
          <w:sz w:val="32"/>
          <w:szCs w:val="32"/>
        </w:rPr>
        <w:t>督导工作涉及面广，各小组要积极加强沟通，密切配合，主动作为，形成合力，确保工作机制有效运作。</w:t>
      </w:r>
    </w:p>
    <w:p>
      <w:pPr>
        <w:pStyle w:val="9"/>
        <w:numPr>
          <w:ilvl w:val="0"/>
          <w:numId w:val="0"/>
        </w:numP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五、督导结果的应用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各督导组第一人为负责人，要保证督导工作扎实有效进行，不流于形式，不包庇隐瞒，若发现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隐患问题</w:t>
      </w:r>
      <w:r>
        <w:rPr>
          <w:rFonts w:hint="eastAsia" w:ascii="仿宋_GB2312" w:eastAsia="仿宋_GB2312"/>
          <w:sz w:val="32"/>
          <w:szCs w:val="32"/>
        </w:rPr>
        <w:t>，及时指导并形成问题台账和督导报告于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月22日报县人民政府教育督导室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督导室以问题台账方式转交相关部门，紧盯整改。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附件：1.专项督导检查责任区域划分</w:t>
      </w:r>
    </w:p>
    <w:p>
      <w:pPr>
        <w:pStyle w:val="9"/>
        <w:numPr>
          <w:ilvl w:val="0"/>
          <w:numId w:val="0"/>
        </w:numPr>
        <w:ind w:left="1916" w:leftChars="760" w:hanging="320" w:hangingChars="1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贺兰县教育系统“两会”期间安全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生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产工作及新冠肺炎疫情防控工作落实情况督导细则</w:t>
      </w:r>
    </w:p>
    <w:p>
      <w:pPr>
        <w:pStyle w:val="9"/>
        <w:numPr>
          <w:ilvl w:val="0"/>
          <w:numId w:val="0"/>
        </w:numPr>
        <w:ind w:left="1916" w:leftChars="760" w:hanging="320" w:hanging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.各中小学幼儿园“两会”期间安全生产工作及新冠肺炎疫情防控工作督导检查记录表</w:t>
      </w:r>
    </w:p>
    <w:p>
      <w:pPr>
        <w:ind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3130550</wp:posOffset>
            </wp:positionH>
            <wp:positionV relativeFrom="paragraph">
              <wp:posOffset>297815</wp:posOffset>
            </wp:positionV>
            <wp:extent cx="1514475" cy="15144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贺兰县人民政府教育督导室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（此件公开发布）</w:t>
      </w:r>
    </w:p>
    <w:p>
      <w:pPr>
        <w:pStyle w:val="2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31" w:right="1417" w:bottom="1417" w:left="1417" w:header="851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60c540a0e9132a1e9abc9ee50694faf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0VTuERqZbJJ7CFbTKI6fySZ6N6E=" w:salt="aAAaHm6UzIdtLQ/bLi2gv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8E2"/>
    <w:rsid w:val="000538D0"/>
    <w:rsid w:val="0008103C"/>
    <w:rsid w:val="000B5198"/>
    <w:rsid w:val="000F3DD4"/>
    <w:rsid w:val="000F6F22"/>
    <w:rsid w:val="00287699"/>
    <w:rsid w:val="002D46B8"/>
    <w:rsid w:val="002D5EE2"/>
    <w:rsid w:val="003725F5"/>
    <w:rsid w:val="003A4B00"/>
    <w:rsid w:val="003D720A"/>
    <w:rsid w:val="003E2492"/>
    <w:rsid w:val="00422028"/>
    <w:rsid w:val="00436FED"/>
    <w:rsid w:val="004868C3"/>
    <w:rsid w:val="004A797D"/>
    <w:rsid w:val="004E4E4B"/>
    <w:rsid w:val="00513305"/>
    <w:rsid w:val="00532E8D"/>
    <w:rsid w:val="00552F1A"/>
    <w:rsid w:val="005E50F6"/>
    <w:rsid w:val="006353F7"/>
    <w:rsid w:val="006E544E"/>
    <w:rsid w:val="00736811"/>
    <w:rsid w:val="00810F95"/>
    <w:rsid w:val="00884505"/>
    <w:rsid w:val="00994507"/>
    <w:rsid w:val="009D5D85"/>
    <w:rsid w:val="00A43B21"/>
    <w:rsid w:val="00A63795"/>
    <w:rsid w:val="00A803ED"/>
    <w:rsid w:val="00B00048"/>
    <w:rsid w:val="00B174DC"/>
    <w:rsid w:val="00B3720C"/>
    <w:rsid w:val="00BF0C0D"/>
    <w:rsid w:val="00C36A3C"/>
    <w:rsid w:val="00C847FF"/>
    <w:rsid w:val="00CD36BC"/>
    <w:rsid w:val="00D62888"/>
    <w:rsid w:val="00DA704E"/>
    <w:rsid w:val="00DE78E2"/>
    <w:rsid w:val="00E7316A"/>
    <w:rsid w:val="00E73486"/>
    <w:rsid w:val="00FD6AAE"/>
    <w:rsid w:val="0A3B76C9"/>
    <w:rsid w:val="0D935E82"/>
    <w:rsid w:val="22381CC1"/>
    <w:rsid w:val="3A0E5642"/>
    <w:rsid w:val="408309DE"/>
    <w:rsid w:val="432438F0"/>
    <w:rsid w:val="4EF34F88"/>
    <w:rsid w:val="58AF1A91"/>
    <w:rsid w:val="6F1401E4"/>
    <w:rsid w:val="76D41D07"/>
    <w:rsid w:val="79613602"/>
    <w:rsid w:val="7F4B1D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0"/>
    <w:rPr>
      <w:rFonts w:cs="Times New Roman"/>
      <w:b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4</Pages>
  <Words>1121</Words>
  <Characters>1140</Characters>
  <Lines>7</Lines>
  <Paragraphs>2</Paragraphs>
  <TotalTime>0</TotalTime>
  <ScaleCrop>false</ScaleCrop>
  <LinksUpToDate>false</LinksUpToDate>
  <CharactersWithSpaces>1259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2020-02-19T11:10:00Z</dcterms:created>
  <dc:creator>微软</dc:creator>
  <cp:lastModifiedBy>jytyj</cp:lastModifiedBy>
  <cp:lastPrinted>2020-05-20T07:26:00Z</cp:lastPrinted>
  <dcterms:modified xsi:type="dcterms:W3CDTF">2020-05-20T10:35:00Z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